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177E" w:rsidRDefault="00F2177E" w:rsidP="00F2177E">
      <w:r w:rsidRPr="00F2177E">
        <w:rPr>
          <w:i/>
        </w:rPr>
        <w:t>Research Article</w:t>
      </w:r>
      <w:r>
        <w:br/>
      </w:r>
      <w:r w:rsidR="007C3393" w:rsidRPr="00F2177E">
        <w:rPr>
          <w:rStyle w:val="1Char"/>
          <w:color w:val="000000" w:themeColor="text1"/>
        </w:rPr>
        <w:t>Poincaré MDS: Hyperbolic Embedding Reveals Hierarchical Organization in Spatial Transcriptomics</w:t>
      </w:r>
    </w:p>
    <w:p w:rsidR="00F2177E" w:rsidRPr="00F2177E" w:rsidRDefault="00F2177E" w:rsidP="00F2177E">
      <w:r>
        <w:br/>
      </w:r>
      <w:r w:rsidRPr="00F2177E">
        <w:t xml:space="preserve">Keran Sun </w:t>
      </w:r>
      <w:r w:rsidRPr="00542482">
        <w:rPr>
          <w:vertAlign w:val="superscript"/>
        </w:rPr>
        <w:t>1,2,3,</w:t>
      </w:r>
      <w:r w:rsidR="00542482" w:rsidRPr="00542482">
        <w:rPr>
          <w:vertAlign w:val="superscript"/>
        </w:rPr>
        <w:t xml:space="preserve"> </w:t>
      </w:r>
      <w:r w:rsidR="00542482" w:rsidRPr="00542482">
        <w:rPr>
          <w:vertAlign w:val="superscript"/>
        </w:rPr>
        <w:t>*</w:t>
      </w:r>
      <w:r w:rsidR="00542482" w:rsidRPr="00F2177E">
        <w:t xml:space="preserve"> </w:t>
      </w:r>
      <w:r w:rsidR="00542482" w:rsidRPr="00F2177E">
        <w:t xml:space="preserve"> , Keqi Jia</w:t>
      </w:r>
      <w:r w:rsidR="00542482" w:rsidRPr="00542482">
        <w:rPr>
          <w:vertAlign w:val="superscript"/>
        </w:rPr>
        <w:t>4</w:t>
      </w:r>
      <w:r w:rsidR="00542482">
        <w:t>, Hongru Li</w:t>
      </w:r>
      <w:r w:rsidR="00542482" w:rsidRPr="00542482">
        <w:rPr>
          <w:vertAlign w:val="superscript"/>
        </w:rPr>
        <w:t>3</w:t>
      </w:r>
      <w:r w:rsidR="00542482" w:rsidRPr="00F2177E">
        <w:t xml:space="preserve"> </w:t>
      </w:r>
      <w:r w:rsidRPr="00F2177E">
        <w:t>, Lin Wei</w:t>
      </w:r>
      <w:r w:rsidR="00542482" w:rsidRPr="00542482">
        <w:rPr>
          <w:vertAlign w:val="superscript"/>
        </w:rPr>
        <w:t>3</w:t>
      </w:r>
      <w:r w:rsidRPr="00542482">
        <w:rPr>
          <w:vertAlign w:val="superscript"/>
        </w:rPr>
        <w:t>*</w:t>
      </w:r>
      <w:r w:rsidRPr="00F2177E">
        <w:t>, Cuiqing Ma</w:t>
      </w:r>
      <w:r w:rsidR="00542482" w:rsidRPr="00542482">
        <w:rPr>
          <w:vertAlign w:val="superscript"/>
        </w:rPr>
        <w:t>3</w:t>
      </w:r>
      <w:r w:rsidRPr="00542482">
        <w:rPr>
          <w:vertAlign w:val="superscript"/>
        </w:rPr>
        <w:t>*</w:t>
      </w:r>
      <w:r w:rsidR="00542482">
        <w:t>,Fei Yin</w:t>
      </w:r>
      <w:r w:rsidR="00542482" w:rsidRPr="00542482">
        <w:rPr>
          <w:vertAlign w:val="superscript"/>
        </w:rPr>
        <w:t>1</w:t>
      </w:r>
      <w:r w:rsidR="00542482" w:rsidRPr="00542482">
        <w:rPr>
          <w:vertAlign w:val="superscript"/>
        </w:rPr>
        <w:t>*</w:t>
      </w:r>
      <w:r w:rsidR="00542482">
        <w:br/>
        <w:t>1</w:t>
      </w:r>
      <w:r w:rsidR="00542482" w:rsidRPr="00F2177E">
        <w:t>Department of Gastroenterology, The Fourth Hospital of Hebei Medical University, Shijiazhuang, PR China.</w:t>
      </w:r>
      <w:r w:rsidR="00542482">
        <w:br/>
      </w:r>
      <w:r w:rsidR="00542482" w:rsidRPr="00F2177E">
        <w:t>2Hebei Medical University Clinical Medicine Postdoctoral Research Station, Shijiazhuang, PR China.</w:t>
      </w:r>
      <w:r>
        <w:rPr>
          <w:b/>
          <w:bCs/>
        </w:rPr>
        <w:br/>
      </w:r>
      <w:r w:rsidR="00542482">
        <w:t>3</w:t>
      </w:r>
      <w:r w:rsidRPr="00F2177E">
        <w:t>Department of Immunology, Key Laboratory of Immune Mechanism and Intervention on Serious Disease in Hebei Province, Hebei Medical University, Shijiazhuang, PR China.</w:t>
      </w:r>
      <w:r>
        <w:rPr>
          <w:b/>
          <w:bCs/>
        </w:rPr>
        <w:br/>
      </w:r>
      <w:r w:rsidRPr="00F2177E">
        <w:t>4Department of Pathology, Shijiazhuang People's Hospital, Shijiazhuang, PR China.</w:t>
      </w:r>
      <w:r>
        <w:rPr>
          <w:b/>
          <w:bCs/>
        </w:rPr>
        <w:br/>
      </w:r>
      <w:r>
        <w:rPr>
          <w:b/>
          <w:bCs/>
        </w:rPr>
        <w:br/>
      </w:r>
      <w:r w:rsidRPr="00F2177E">
        <w:t>*Correspondence to:</w:t>
      </w:r>
      <w:r w:rsidR="00542482">
        <w:br/>
      </w:r>
      <w:r w:rsidR="00542482" w:rsidRPr="00542482">
        <w:rPr>
          <w:rFonts w:hint="eastAsia"/>
        </w:rPr>
        <w:t>Keran</w:t>
      </w:r>
      <w:r w:rsidR="00542482" w:rsidRPr="00542482">
        <w:t xml:space="preserve"> </w:t>
      </w:r>
      <w:r w:rsidR="00542482" w:rsidRPr="00542482">
        <w:rPr>
          <w:rFonts w:hint="eastAsia"/>
        </w:rPr>
        <w:t>Sun,</w:t>
      </w:r>
      <w:r w:rsidR="00542482">
        <w:t xml:space="preserve"> </w:t>
      </w:r>
      <w:r w:rsidR="00542482" w:rsidRPr="00542482">
        <w:t>sunkeran@stu.hebmu.edu.cn</w:t>
      </w:r>
      <w:r>
        <w:rPr>
          <w:b/>
          <w:bCs/>
        </w:rPr>
        <w:br/>
      </w:r>
      <w:r w:rsidRPr="00F2177E">
        <w:t xml:space="preserve">Lin Wei, weilin@hebmu.edu.cn </w:t>
      </w:r>
      <w:r>
        <w:rPr>
          <w:b/>
          <w:bCs/>
        </w:rPr>
        <w:br/>
      </w:r>
      <w:r w:rsidRPr="00F2177E">
        <w:t xml:space="preserve">Cuiqing Ma, </w:t>
      </w:r>
      <w:hyperlink r:id="rId8" w:history="1">
        <w:r w:rsidRPr="000E26C6">
          <w:rPr>
            <w:rStyle w:val="aff2"/>
          </w:rPr>
          <w:t>macuiqing@hebmu.edu.cn</w:t>
        </w:r>
      </w:hyperlink>
      <w:r w:rsidRPr="00F2177E">
        <w:t xml:space="preserve"> </w:t>
      </w:r>
      <w:r w:rsidR="00542482">
        <w:br/>
        <w:t xml:space="preserve">Fei Yin, </w:t>
      </w:r>
      <w:r w:rsidR="00542482" w:rsidRPr="00542482">
        <w:t>47100214@hebmu.edu.cn</w:t>
      </w:r>
    </w:p>
    <w:p w:rsidR="00542482" w:rsidRDefault="00542482" w:rsidP="00542482">
      <w:pPr>
        <w:pStyle w:val="1"/>
      </w:pPr>
      <w:r>
        <w:t>Highlights</w:t>
      </w:r>
    </w:p>
    <w:p w:rsidR="00542482" w:rsidRDefault="00542482" w:rsidP="00542482">
      <w:r>
        <w:t>- Poincaré MDS embeds spatial transcriptomics into hyperbolic space, where radial coordinate encodes tissue hierarchy - Stress scales as O(ln D) for hierarchical data, with crossover advantage over Euclidean MDS at depth ≥ 4 - Hyperbolic Niche identifies functional cell–cell interactions via geodesic-distance neighborhoods - Validated across gastric cancer Visium, Slide-seq V2 cerebellum, and developmental cortex datasets</w:t>
      </w:r>
    </w:p>
    <w:p w:rsidR="00FD3080" w:rsidRDefault="007C3393" w:rsidP="00F2177E">
      <w:pPr>
        <w:pStyle w:val="1"/>
      </w:pPr>
      <w:r>
        <w:t>A</w:t>
      </w:r>
      <w:r>
        <w:t>bstract</w:t>
      </w:r>
    </w:p>
    <w:p w:rsidR="00FD3080" w:rsidRDefault="007C3393">
      <w:r>
        <w:t xml:space="preserve">Existing dimensionality reduction methods for spatial transcriptomics do not </w:t>
      </w:r>
      <w:r>
        <w:t xml:space="preserve">explicitly model tissue hierarchy. Here we introduce Poincaré MDS, which embeds data into the Poincaré disk of hyperbolic space, where the radial coordinate encodes hierarchical depth. On tree data, Poincaré MDS stress scales as O(ln D) (R² = 0.997), with </w:t>
      </w:r>
      <w:r>
        <w:t>a crossover advantage over Euclidean MDS at depth ≥ 4. On gastric cancer Visium data (4,252 spots), Poincaré MDS achieves the highest hierarchical clustering quality (NMI = 0.349; ARI = 0.225), ranking second in distance preservation (ρ = 0.883). We introd</w:t>
      </w:r>
      <w:r>
        <w:t>uce Hyperbolic Niche, a geodesic-distance framework for cell interaction; hyperbolic niches show higher purity than spatial neighborhoods (0.932 vs. 0.560, p &lt; 10⁻¹⁴⁰). Cross-platform validation on Slide-seq V2 cerebellum (NMI = 0.626, radius–layer ρ = 0.7</w:t>
      </w:r>
      <w:r>
        <w:t>96) and developmental cortex (radius–layer ρ = 0.196, p = 7.58 × 10⁻¹⁹) confirms hierarchical recovery. Poincaré MDS uniquely captures tissue hierarchy in spatial transcriptomics.</w:t>
      </w:r>
    </w:p>
    <w:p w:rsidR="00FD3080" w:rsidRDefault="007C3393">
      <w:pPr>
        <w:pStyle w:val="1"/>
      </w:pPr>
      <w:r>
        <w:lastRenderedPageBreak/>
        <w:t>Introduction</w:t>
      </w:r>
    </w:p>
    <w:p w:rsidR="00FD3080" w:rsidRDefault="007C3393">
      <w:r>
        <w:t xml:space="preserve">Spatial transcriptomics technologies have transformed our ability to study gene expression in its native tissue context </w:t>
      </w:r>
      <w:r w:rsidR="00C51A02">
        <w:fldChar w:fldCharType="begin"/>
      </w:r>
      <w:r w:rsidR="00C51A02">
        <w:instrText xml:space="preserve"> ADDIN ZOTERO_ITEM CSL_CITATION {"citationID":"PaD1bA5r","properties":{"formattedCitation":"\\super 1,2\\nosupersub{}","plainCitation":"1,2","noteIndex":0},"citationItems":[{"id":5179,"uris":["http://zotero.org/users/local/FhkaGxCY/items/QS5MKKPU"],"itemData":{"id":5179,"type":"article-journal","abstract":"Spatial structure of RNA expression\n            \n              RNA-seq and similar methods can record gene expression within and among cells. Current methods typically lose positional information and many require arduous single-cell isolation and sequencing. Ståhl\n              et al.\n              have developed a way of measuring the spatial distribution of transcripts by annealing fixed brain or cancer tissue samples directly to bar-coded reverse transcriptase primers, performing reverse transcription followed by sequencing and computational reconstruction, and they can do so for multiple genes.\n            \n            \n              Science\n              , this issue p.\n              78\n            \n          , \n            A new technique allows visualization and quantitative analysis of the spatially resolved transcriptome across individual tissue sections.\n          , \n            Analysis of the pattern of proteins or messengerRNAs (mRNAs) in histological tissue sections is a cornerstone in biomedical research and diagnostics. This typically involves the visualization of a few proteins or expressed genes at a time. We have devised a strategy, which we call “spatial transcriptomics,” that allows visualization and quantitative analysis of the transcriptome with spatial resolution in individual tissue sections. By positioning histological sections on arrayed reverse transcription primers with unique positional barcodes, we demonstrate high-quality RNA-sequencing data with maintained two-dimensional positional information from the mouse brain and human breast cancer. Spatial transcriptomics provides quantitative gene expression data and visualization of the distribution of mRNAs within tissue sections and enables novel types of bioinformatics analyses, valuable in research and diagnostics.","container-title":"Science","DOI":"10.1126/science.aaf2403","ISSN":"0036-8075, 1095-9203","issue":"6294","journalAbbreviation":"Science","language":"en","license":"http://www.sciencemag.org/about/science-licenses-journal-article-reuse","page":"78-82","source":"DOI.org (Crossref)","title":"Visualization and analysis of gene expression in tissue sections by spatial transcriptomics","volume":"353","author":[{"family":"Ståhl","given":"Patrik L."},{"family":"Salmén","given":"Fredrik"},{"family":"Vickovic","given":"Sanja"},{"family":"Lundmark","given":"Anna"},{"family":"Navarro","given":"José Fernández"},{"family":"Magnusson","given":"Jens"},{"family":"Giacomello","given":"Stefania"},{"family":"Asp","given":"Michaela"},{"family":"Westholm","given":"Jakub O."},{"family":"Huss","given":"Mikael"},{"family":"Mollbrink","given":"Annelie"},{"family":"Linnarsson","given":"Sten"},{"family":"Codeluppi","given":"Simone"},{"family":"Borg","given":"Åke"},{"family":"Pontén","given":"Fredrik"},{"family":"Costea","given":"Paul Igor"},{"family":"Sahlén","given":"Pelin"},{"family":"Mulder","given":"Jan"},{"family":"Bergmann","given":"Olaf"},{"family":"Lundeberg","given":"Joakim"},{"family":"Frisén","given":"Jonas"}],"issued":{"date-parts":[["2016",7]]}}},{"id":5180,"uris":["http://zotero.org/users/local/FhkaGxCY/items/S8TA738F"],"itemData":{"id":5180,"type":"article-journal","container-title":"Nature Methods","DOI":"10.1038/s41592-020-01042-x","ISSN":"1548-7091, 1548-7105","issue":"1","journalAbbreviation":"Nat Methods","language":"en","page":"1-1","source":"DOI.org (Crossref)","title":"Method of the Year 2020: spatially resolved transcriptomics","title-short":"Method of the Year 2020","volume":"18","issued":{"date-parts":[["2021",1]]}}}],"schema":"https://github.com/citation-style-language/schema/raw/master/csl-citation.json"} </w:instrText>
      </w:r>
      <w:r w:rsidR="00C51A02">
        <w:fldChar w:fldCharType="separate"/>
      </w:r>
      <w:r w:rsidR="00C51A02" w:rsidRPr="00C51A02">
        <w:rPr>
          <w:rFonts w:cs="Times New Roman"/>
          <w:szCs w:val="24"/>
          <w:vertAlign w:val="superscript"/>
        </w:rPr>
        <w:t>1,2</w:t>
      </w:r>
      <w:r w:rsidR="00C51A02">
        <w:fldChar w:fldCharType="end"/>
      </w:r>
      <w:r>
        <w:t>. Platforms s</w:t>
      </w:r>
      <w:r>
        <w:t xml:space="preserve">uch as 10x Visium, Slide-seq </w:t>
      </w:r>
      <w:r w:rsidR="00C51A02">
        <w:fldChar w:fldCharType="begin"/>
      </w:r>
      <w:r w:rsidR="00C51A02">
        <w:instrText xml:space="preserve"> ADDIN ZOTERO_ITEM CSL_CITATION {"citationID":"aFfgin3h","properties":{"formattedCitation":"\\super 3,4\\nosupersub{}","plainCitation":"3,4","noteIndex":0},"citationItems":[{"id":5182,"uris":["http://zotero.org/users/local/FhkaGxCY/items/LMBKL4G2"],"itemData":{"id":5182,"type":"article-journal","abstract":"Gene expression at fine scale\n            \n              Mapping gene expression at the single-cell level within tissues remains a technical challenge. Rodriques\n              et al.\n              developed a method called Slide-seq, whereby RNA was spatially resolved from tissue sections by transfer onto a surface covered with DNA-barcoded beads. Applying Slide-seq to regions of a mouse brain revealed spatial gene expression patterns in the Purkinje layer of the cerebellum and axes of variation across Purkinje cell compartments. The authors used this method to dissect the temporal evolution of cell type–specific responses in a mouse model of traumatic brain injury.\n            \n            \n              Science\n              , this issue p.\n              1463\n            \n          , \n            An RNA sequencing technique is developed that can measure genome-wide gene expression in complex tissues at 10-micrometer resolution.\n          , \n            Spatial positions of cells in tissues strongly influence function, yet a high-throughput, genome-wide readout of gene expression with cellular resolution is lacking. We developed Slide-seq, a method for transferring RNA from tissue sections onto a surface covered in DNA-barcoded beads with known positions, allowing the locations of the RNA to be inferred by sequencing. Using Slide-seq, we localized cell types identified by single-cell RNA sequencing datasets within the cerebellum and hippocampus, characterized spatial gene expression patterns in the Purkinje layer of mouse cerebellum, and defined the temporal evolution of cell type–specific responses in a mouse model of traumatic brain injury. These studies highlight how Slide-seq provides a scalable method for obtaining spatially resolved gene expression data at resolutions comparable to the sizes of individual cells.","container-title":"Science","DOI":"10.1126/science.aaw1219","ISSN":"0036-8075, 1095-9203","issue":"6434","journalAbbreviation":"Science","language":"en","page":"1463-1467","source":"DOI.org (Crossref)","title":"Slide-seq: A scalable technology for measuring genome-wide expression at high spatial resolution","title-short":"Slide-seq","volume":"363","author":[{"family":"Rodriques","given":"Samuel G."},{"family":"Stickels","given":"Robert R."},{"family":"Goeva","given":"Aleksandrina"},{"family":"Martin","given":"Carly A."},{"family":"Murray","given":"Evan"},{"family":"Vanderburg","given":"Charles R."},{"family":"Welch","given":"Joshua"},{"family":"Chen","given":"Linlin M."},{"family":"Chen","given":"Fei"},{"family":"Macosko","given":"Evan Z."}],"issued":{"date-parts":[["2019",3,29]]}}},{"id":5183,"uris":["http://zotero.org/users/local/FhkaGxCY/items/79JVZKE9"],"itemData":{"id":5183,"type":"article-journal","container-title":"Nature Biotechnology","DOI":"10.1038/s41587-020-0739-1","ISSN":"1087-0156, 1546-1696","issue":"3","journalAbbreviation":"Nat Biotechnol","language":"en","page":"313-319","source":"DOI.org (Crossref)","title":"Highly sensitive spatial transcriptomics at near-cellular resolution with Slide-seqV2","volume":"39","author":[{"family":"Stickels","given":"Robert R."},{"family":"Murray","given":"Evan"},{"family":"Kumar","given":"Pawan"},{"family":"Li","given":"Jilong"},{"family":"Marshall","given":"Jamie L."},{"family":"Di Bella","given":"Daniela J."},{"family":"Arlotta","given":"Paola"},{"family":"Macosko","given":"Evan Z."},{"family":"Chen","given":"Fei"}],"issued":{"date-parts":[["2021",3]]}}}],"schema":"https://github.com/citation-style-language/schema/raw/master/csl-citation.json"} </w:instrText>
      </w:r>
      <w:r w:rsidR="00C51A02">
        <w:fldChar w:fldCharType="separate"/>
      </w:r>
      <w:r w:rsidR="00C51A02" w:rsidRPr="00C51A02">
        <w:rPr>
          <w:rFonts w:cs="Times New Roman"/>
          <w:szCs w:val="24"/>
          <w:vertAlign w:val="superscript"/>
        </w:rPr>
        <w:t>3,4</w:t>
      </w:r>
      <w:r w:rsidR="00C51A02">
        <w:fldChar w:fldCharType="end"/>
      </w:r>
      <w:r>
        <w:t xml:space="preserve">, MERFISH </w:t>
      </w:r>
      <w:r w:rsidR="00C51A02">
        <w:fldChar w:fldCharType="begin"/>
      </w:r>
      <w:r w:rsidR="00C51A02">
        <w:instrText xml:space="preserve"> ADDIN ZOTERO_ITEM CSL_CITATION {"citationID":"Px9z2nzX","properties":{"formattedCitation":"\\super 5\\nosupersub{}","plainCitation":"5","noteIndex":0},"citationItems":[{"id":5184,"uris":["http://zotero.org/users/local/FhkaGxCY/items/8Z7BWAFH"],"itemData":{"id":5184,"type":"article-journal","abstract":"Multiplexed RNA imaging in single cells\n            \n              The basis of cellular function is where and when proteins are expressed and in what quantities. Single-molecule fluorescence in situ hybridization (smFISH) experiments quantify the copy number and location of mRNA molecules; however, the numbers of RNA species that can be simultaneously measured by smFISH has been limited. Using combinatorial labeling with error-robust encoding schemes, Chen\n              et al.\n              simultaneously imaged 100 to 1000 RNA species in a single cell. Such large-scale detection allows regulatory interactions to be analyzed at the transcriptome scale.\n            \n            \n              Science\n              , this issue p.\n              10.1126/science.aaa6090\n            \n          , \n            A single-molecule imaging method allows simultaneous measurement of 1000 RNA species in single cells.\n          , \n            \n              INTRODUCTION\n              The copy number and intracellular localization of RNA are important regulators of gene expression. Measurement of these properties at the transcriptome scale in single cells will give answers to many questions related to gene expression and regulation. Single-molecule RNA imaging approaches, such as single-molecule fluorescence in situ hybridization (smFISH), are powerful tools for counting and mapping RNA; however, the number of RNA species that can be simultaneously imaged in individual cells has been limited. This makes it challenging to perform transcriptomic analysis of single cells in a spatially resolved manner. Here, we report multiplexed error-robust FISH (MERFISH), a single-molecule imaging method that allows thousands of RNA species to be imaged in single cells by using combinatorial FISH labeling with encoding schemes capable of detecting and/or correcting errors.\n            \n            \n              RATIONALE\n              We labeled each cellular RNA with a set of encoding probes, which contain targeting sequences that bind the RNA and readout sequences that bind fluorescently labeled readout probes. Each RNA species is encoded with a particular combination of readout sequences. We used successive rounds of hybridization and imaging, each with a different readout probe, to identify the readout sequences bound to each RNA and to decode the RNA. In principle, combinatorial labeling allows the number of detectable RNA species to grow exponentially with the number of imaging rounds, but the detection errors also increase exponentially. To combat such accumulating errors, we exploited error-robust encoding schemes used in digital electronics, such as the extended Hamming code, in the design of our encoding probes but modified these schemes in order to account for the error properties in FISH measurements. We assigned each RNA a binary word in our modified Hamming code and encoded the RNA with a combination of readout sequences according to this binary word.\n            \n            \n              RESULTS\n              We first imaged 140 RNA species in human fibroblast cells using MERFISH with 16 rounds of hybridization and a modified Hamming code capable of both error detection and correction. We obtained ~80% detection efficiency and observed excellent correlation of RNA copy numbers determined with MERFISH with both bulk RNA sequencing data and conventional smFISH measurements of individual genes.\n              Next, we used an alternative MERFISH encoding scheme, which is capable of detecting but not correcting errors, to image 1001 RNA species in individual cells using only 14 rounds of hybridization. The observed RNA copy numbers again correlate well with bulk sequencing data. However, the detection efficiency is only one-third that of the error-correcting encoding scheme.\n              \n                We performed correlation analysis of the 10\n                4\n                to 10\n                6\n                pairs of measured genes and identified many covarying gene groups that share common regulatory elements. Such grouping allowed us to hypothesize potential functions of ~100 unannotated or partially annotated genes of unknown functions. We further analyzed correlations in the spatial distributions of different RNA species and identified groups of RNAs with different distribution patterns in the cell.\n              \n            \n            \n              DISCUSSION\n              This highly multiplexed imaging approach enables analyses based on the variation and correlation of copy numbers and spatial distributions of a large number of RNA species within single cells. Such analyses should facilitate the delineation of regulatory networks and in situ identification of cell types. We envision that this approach will allow spatially resolved transcriptomes to be determined for single cells.\n            \n          , \n            \n              Knowledge of the expression profile and spatial landscape of the transcriptome in individual cells is essential for understanding the rich repertoire of cellular behaviors. Here, we report multiplexed error-robust fluorescence in situ hybridization (MERFISH), a single-molecule imaging approach that allows the copy numbers and spatial localizations of thousands of RNA species to be determined in single cells. Using error-robust encoding schemes to combat single-molecule labeling and detection errors, we demonstrated the imaging of 100 to 1000 distinct RNA species in hundreds of individual cells. Correlation analysis of the ~10\n              4\n              to 10\n              6\n              pairs of genes allowed us to constrain gene regulatory networks, predict novel functions for many unannotated genes, and identify distinct spatial distribution patterns of RNAs that correlate with properties of the encoded proteins.","container-title":"Science","DOI":"10.1126/science.aaa6090","ISSN":"0036-8075, 1095-9203","issue":"6233","journalAbbreviation":"Science","language":"en","license":"http://www.sciencemag.org/about/science-licenses-journal-article-reuse","page":"aaa6090","source":"DOI.org (Crossref)","title":"Spatially resolved, highly multiplexed RNA profiling in single cells","volume":"348","author":[{"family":"Chen","given":"Kok Hao"},{"family":"Boettiger","given":"Alistair N."},{"family":"Moffitt","given":"Jeffrey R."},{"family":"Wang","given":"Siyuan"},{"family":"Zhuang","given":"Xiaowei"}],"issued":{"date-parts":[["2015",4,24]]}}}],"schema":"https://github.com/citation-style-language/schema/raw/master/csl-citation.json"} </w:instrText>
      </w:r>
      <w:r w:rsidR="00C51A02">
        <w:fldChar w:fldCharType="separate"/>
      </w:r>
      <w:r w:rsidR="00C51A02" w:rsidRPr="00C51A02">
        <w:rPr>
          <w:rFonts w:cs="Times New Roman"/>
          <w:szCs w:val="24"/>
          <w:vertAlign w:val="superscript"/>
        </w:rPr>
        <w:t>5</w:t>
      </w:r>
      <w:r w:rsidR="00C51A02">
        <w:fldChar w:fldCharType="end"/>
      </w:r>
      <w:r>
        <w:t xml:space="preserve">, CosMx </w:t>
      </w:r>
      <w:r w:rsidR="006B210A">
        <w:fldChar w:fldCharType="begin"/>
      </w:r>
      <w:r w:rsidR="006B210A">
        <w:instrText xml:space="preserve"> ADDIN ZOTERO_ITEM CSL_CITATION {"citationID":"q2KeH4dF","properties":{"formattedCitation":"\\super 6\\nosupersub{}","plainCitation":"6","noteIndex":0},"citationItems":[{"id":5185,"uris":["http://zotero.org/users/local/FhkaGxCY/items/AHFU25IU"],"itemData":{"id":5185,"type":"article-journal","container-title":"Nature Biotechnology","DOI":"10.1038/s41587-022-01483-z","ISSN":"1087-0156, 1546-1696","issue":"12","journalAbbreviation":"Nat Biotechnol","language":"en","page":"1794-1806","source":"DOI.org (Crossref)","title":"High-plex imaging of RNA and proteins at subcellular resolution in fixed tissue by spatial molecular imaging","volume":"40","author":[{"family":"He","given":"Shanshan"},{"family":"Bhatt","given":"Ruchir"},{"family":"Brown","given":"Carl"},{"family":"Brown","given":"Emily A."},{"family":"Buhr","given":"Derek L."},{"family":"Chantranuvatana","given":"Kan"},{"family":"Danaher","given":"Patrick"},{"family":"Dunaway","given":"Dwayne"},{"family":"Garrison","given":"Ryan G."},{"family":"Geiss","given":"Gary"},{"family":"Gregory","given":"Mark T."},{"family":"Hoang","given":"Margaret L."},{"family":"Khafizov","given":"Rustem"},{"family":"Killingbeck","given":"Emily E."},{"family":"Kim","given":"Dae"},{"family":"Kim","given":"Tae Kyung"},{"family":"Kim","given":"Youngmi"},{"family":"Klock","given":"Andrew"},{"family":"Korukonda","given":"Mithra"},{"family":"Kutchma","given":"Alecksandr"},{"family":"Lewis","given":"Zachary R."},{"family":"Liang","given":"Yan"},{"family":"Nelson","given":"Jeffrey S."},{"family":"Ong","given":"Giang T."},{"family":"Perillo","given":"Evan P."},{"family":"Phan","given":"Joseph C."},{"family":"Phan-Everson","given":"Tien"},{"family":"Piazza","given":"Erin"},{"family":"Rane","given":"Tushar"},{"family":"Reitz","given":"Zachary"},{"family":"Rhodes","given":"Michael"},{"family":"Rosenbloom","given":"Alyssa"},{"family":"Ross","given":"David"},{"family":"Sato","given":"Hiromi"},{"family":"Wardhani","given":"Aster W."},{"family":"Williams-Wietzikoski","given":"Corey A."},{"family":"Wu","given":"Lidan"},{"family":"Beechem","given":"Joseph M."}],"issued":{"date-parts":[["2022",12]]}}}],"schema":"https://github.com/citation-style-language/schema/raw/master/csl-citation.json"} </w:instrText>
      </w:r>
      <w:r w:rsidR="006B210A">
        <w:fldChar w:fldCharType="separate"/>
      </w:r>
      <w:r w:rsidR="006B210A" w:rsidRPr="006B210A">
        <w:rPr>
          <w:rFonts w:cs="Times New Roman"/>
          <w:szCs w:val="24"/>
          <w:vertAlign w:val="superscript"/>
        </w:rPr>
        <w:t>6</w:t>
      </w:r>
      <w:r w:rsidR="006B210A">
        <w:fldChar w:fldCharType="end"/>
      </w:r>
      <w:r>
        <w:t>, and Stereo-seq</w:t>
      </w:r>
      <w:r w:rsidR="006B210A">
        <w:fldChar w:fldCharType="begin"/>
      </w:r>
      <w:r w:rsidR="006B210A">
        <w:instrText xml:space="preserve"> ADDIN ZOTERO_ITEM CSL_CITATION {"citationID":"dswUk4xk","properties":{"formattedCitation":"\\super 7\\nosupersub{}","plainCitation":"7","noteIndex":0},"citationItems":[{"id":5186,"uris":["http://zotero.org/users/local/FhkaGxCY/items/GPXYJ9S6"],"itemData":{"id":5186,"type":"article-journal","container-title":"Cell","DOI":"10.1016/j.cell.2020.10.026","ISSN":"00928674","issue":"6","journalAbbreviation":"Cell","language":"en","page":"1665-1681.e18","source":"DOI.org (Crossref)","title":"High-Spatial-Resolution Multi-Omics Sequencing via Deterministic Barcoding in Tissue","volume":"183","author":[{"family":"Liu","given":"Yang"},{"family":"Yang","given":"Mingyu"},{"family":"Deng","given":"Yanxiang"},{"family":"Su","given":"Graham"},{"family":"Enninful","given":"Archibald"},{"family":"Guo","given":"Cindy C."},{"family":"Tebaldi","given":"Toma"},{"family":"Zhang","given":"Di"},{"family":"Kim","given":"Dongjoo"},{"family":"Bai","given":"Zhiliang"},{"family":"Norris","given":"Eileen"},{"family":"Pan","given":"Alisia"},{"family":"Li","given":"Jiatong"},{"family":"Xiao","given":"Yang"},{"family":"Halene","given":"Stephanie"},{"family":"Fan","given":"Rong"}],"issued":{"date-parts":[["2020",12]]}}}],"schema":"https://github.com/citation-style-language/schema/raw/master/csl-citation.json"} </w:instrText>
      </w:r>
      <w:r w:rsidR="006B210A">
        <w:fldChar w:fldCharType="separate"/>
      </w:r>
      <w:r w:rsidR="006B210A" w:rsidRPr="006B210A">
        <w:rPr>
          <w:rFonts w:cs="Times New Roman"/>
          <w:szCs w:val="24"/>
          <w:vertAlign w:val="superscript"/>
        </w:rPr>
        <w:t>7</w:t>
      </w:r>
      <w:r w:rsidR="006B210A">
        <w:fldChar w:fldCharType="end"/>
      </w:r>
      <w:r>
        <w:t xml:space="preserve"> generate high-dimensional gene expression measurements coupled with precise spatial coordinates, enabling the study of cellular organization at unprecedented resolution. Integra</w:t>
      </w:r>
      <w:r>
        <w:t>ted analysis workflows</w:t>
      </w:r>
      <w:r w:rsidR="006B210A">
        <w:fldChar w:fldCharType="begin"/>
      </w:r>
      <w:r w:rsidR="006B210A">
        <w:instrText xml:space="preserve"> ADDIN ZOTERO_ITEM CSL_CITATION {"citationID":"9zlP8VBb","properties":{"formattedCitation":"\\super 8\\nosupersub{}","plainCitation":"8","noteIndex":0},"citationItems":[{"id":5188,"uris":["http://zotero.org/users/local/FhkaGxCY/items/EBV9UABB"],"itemData":{"id":5188,"type":"article-journal","abstract":"Abstract\n            \n              Background\n              Recent advancements in in situ gene expression technologies constitute a new and rapidly evolving field of transcriptomics. With the recent launch of the 10x Genomics Visium platform, such methods have started to become widely adopted. The experimental protocol is conducted on individual tissue sections collected from a larger tissue sample. The two-dimensional nature of this data requires multiple consecutive sections to be collected from the sample in order to construct a comprehensive three-dimensional map of the tissue. However, there is currently no software available that lets the user process the images, align stacked experiments, and finally visualize them together in 3D to create a holistic view of the tissue.\n            \n            \n              Results\n              We have developed an R package named STUtility that takes 10x Genomics Visium data as input and provides features to perform standardized data transformations, alignment of multiple tissue sections, regional annotation, and visualizations of the combined data in a 3D model framework.\n            \n            \n              Conclusions\n              \n                STUtility lets the user process, analyze and visualize multiple samples of spatially resolved RNA sequencing and image data from the 10x Genomics Visium platform. The package builds on the Seurat framework and uses familiar APIs and well-proven analysis methods. An introduction to the software package is available at\n                https://ludvigla.github.io/STUtility_web_site/\n                .","container-title":"BMC Genomics","DOI":"10.1186/s12864-020-06832-3","ISSN":"1471-2164","issue":"1","journalAbbreviation":"BMC Genomics","language":"en","page":"482","source":"DOI.org (Crossref)","title":"Seamless integration of image and molecular analysis for spatial transcriptomics workflows","volume":"21","author":[{"family":"Bergenstråhle","given":"Joseph"},{"family":"Larsson","given":"Ludvig"},{"family":"Lundeberg","given":"Joakim"}],"issued":{"date-parts":[["2020",12]]}}}],"schema":"https://github.com/citation-style-language/schema/raw/master/csl-citation.json"} </w:instrText>
      </w:r>
      <w:r w:rsidR="006B210A">
        <w:fldChar w:fldCharType="separate"/>
      </w:r>
      <w:r w:rsidR="006B210A" w:rsidRPr="006B210A">
        <w:rPr>
          <w:rFonts w:cs="Times New Roman"/>
          <w:szCs w:val="24"/>
          <w:vertAlign w:val="superscript"/>
        </w:rPr>
        <w:t>8</w:t>
      </w:r>
      <w:r w:rsidR="006B210A">
        <w:fldChar w:fldCharType="end"/>
      </w:r>
      <w:r>
        <w:t xml:space="preserve"> combine imaging and molecular data for joint visualization and downstream analysis. A critical step in analyzing these data is dimensionality reduction — projecting high-dimensional gene expression into a low-dimensional space fo</w:t>
      </w:r>
      <w:r>
        <w:t>r visualization and downstream analysis.</w:t>
      </w:r>
    </w:p>
    <w:p w:rsidR="00FD3080" w:rsidRDefault="007C3393">
      <w:r>
        <w:t>Current mainstream approaches — Uniform Manifold Approximation and Projection (UMAP)</w:t>
      </w:r>
      <w:r w:rsidR="006B210A">
        <w:fldChar w:fldCharType="begin"/>
      </w:r>
      <w:r w:rsidR="006B210A">
        <w:instrText xml:space="preserve"> ADDIN ZOTERO_ITEM CSL_CITATION {"citationID":"Xtu6HJLN","properties":{"formattedCitation":"\\super 9\\nosupersub{}","plainCitation":"9","noteIndex":0},"citationItems":[{"id":5190,"uris":["http://zotero.org/users/local/FhkaGxCY/items/V7YK5BYP"],"itemData":{"id":5190,"type":"article-journal","container-title":"Journal of Open Source Software","DOI":"10.21105/joss.00861","ISSN":"2475-9066","issue":"29","journalAbbreviation":"JOSS","license":"http://creativecommons.org/licenses/by/4.0/","page":"861","source":"DOI.org (Crossref)","title":"UMAP: Uniform Manifold Approximation and Projection","title-short":"UMAP","volume":"3","author":[{"family":"McInnes","given":"Leland"},{"family":"Healy","given":"John"},{"family":"Saul","given":"Nathaniel"},{"family":"Großberger","given":"Lukas"}],"issued":{"date-parts":[["2018",9,2]]}}}],"schema":"https://github.com/citation-style-language/schema/raw/master/csl-citation.json"} </w:instrText>
      </w:r>
      <w:r w:rsidR="006B210A">
        <w:fldChar w:fldCharType="separate"/>
      </w:r>
      <w:r w:rsidR="006B210A" w:rsidRPr="006B210A">
        <w:rPr>
          <w:rFonts w:cs="Times New Roman"/>
          <w:szCs w:val="24"/>
          <w:vertAlign w:val="superscript"/>
        </w:rPr>
        <w:t>9</w:t>
      </w:r>
      <w:r w:rsidR="006B210A">
        <w:fldChar w:fldCharType="end"/>
      </w:r>
      <w:r>
        <w:t xml:space="preserve">, t-distributed Stochastic Neighbor Embedding (t-SNE) </w:t>
      </w:r>
      <w:r w:rsidR="006B210A">
        <w:fldChar w:fldCharType="begin"/>
      </w:r>
      <w:r w:rsidR="006B210A">
        <w:instrText xml:space="preserve"> ADDIN ZOTERO_ITEM CSL_CITATION {"citationID":"THBBc2AH","properties":{"formattedCitation":"\\super 10\\nosupersub{}","plainCitation":"10","noteIndex":0},"citationItems":[{"id":5192,"uris":["http://zotero.org/users/local/FhkaGxCY/items/5DZSJTFF"],"itemData":{"id":5192,"type":"article-journal","container-title":"Journal of Machine Learning Research","issue":"2605","page":"2579-2605","title":"Visualizing Data using t-SNE","volume":"9","author":[{"family":"Laurens","given":"Van Der Maaten","suffix":""},{"family":"Hinton","given":"Geoffrey"}],"issued":{"date-parts":[["2008"]]}}}],"schema":"https://github.com/citation-style-language/schema/raw/master/csl-citation.json"} </w:instrText>
      </w:r>
      <w:r w:rsidR="006B210A">
        <w:fldChar w:fldCharType="separate"/>
      </w:r>
      <w:r w:rsidR="006B210A" w:rsidRPr="006B210A">
        <w:rPr>
          <w:rFonts w:cs="Times New Roman"/>
          <w:szCs w:val="24"/>
          <w:vertAlign w:val="superscript"/>
        </w:rPr>
        <w:t>10</w:t>
      </w:r>
      <w:r w:rsidR="006B210A">
        <w:fldChar w:fldCharType="end"/>
      </w:r>
      <w:r>
        <w:t>, and Potential of Heat-diffusion for Affinity-based Transition Embed</w:t>
      </w:r>
      <w:r>
        <w:t xml:space="preserve">ding (PHATE) </w:t>
      </w:r>
      <w:r w:rsidR="006B210A">
        <w:fldChar w:fldCharType="begin"/>
      </w:r>
      <w:r w:rsidR="006B210A">
        <w:instrText xml:space="preserve"> ADDIN ZOTERO_ITEM CSL_CITATION {"citationID":"rxzQ569r","properties":{"formattedCitation":"\\super 11\\nosupersub{}","plainCitation":"11","noteIndex":0},"citationItems":[{"id":5193,"uris":["http://zotero.org/users/local/FhkaGxCY/items/DELSUXFM"],"itemData":{"id":5193,"type":"article-journal","container-title":"Nature Biotechnology","DOI":"10.1038/s41587-019-0336-3","ISSN":"1087-0156, 1546-1696","issue":"12","journalAbbreviation":"Nat Biotechnol","language":"en","page":"1482-1492","source":"DOI.org (Crossref)","title":"Visualizing structure and transitions in high-dimensional biological data","volume":"37","author":[{"family":"Moon","given":"Kevin R."},{"family":"Van Dijk","given":"David"},{"family":"Wang","given":"Zheng"},{"family":"Gigante","given":"Scott"},{"family":"Burkhardt","given":"Daniel B."},{"family":"Chen","given":"William S."},{"family":"Yim","given":"Kristina"},{"family":"Elzen","given":"Antonia Van Den"},{"family":"Hirn","given":"Matthew J."},{"family":"Coifman","given":"Ronald R."},{"family":"Ivanova","given":"Natalia B."},{"family":"Wolf","given":"Guy"},{"family":"Krishnaswamy","given":"Smita"}],"issued":{"date-parts":[["2019",12]]}}}],"schema":"https://github.com/citation-style-language/schema/raw/master/csl-citation.json"} </w:instrText>
      </w:r>
      <w:r w:rsidR="006B210A">
        <w:fldChar w:fldCharType="separate"/>
      </w:r>
      <w:r w:rsidR="006B210A" w:rsidRPr="006B210A">
        <w:rPr>
          <w:rFonts w:cs="Times New Roman"/>
          <w:szCs w:val="24"/>
          <w:vertAlign w:val="superscript"/>
        </w:rPr>
        <w:t>11</w:t>
      </w:r>
      <w:r w:rsidR="006B210A">
        <w:fldChar w:fldCharType="end"/>
      </w:r>
      <w:r>
        <w:t xml:space="preserve"> — excel at revealing cluster structure and local neighborhoods. UMAP preserves global topology through a fuzzy simplicial set representation; t-SNE optimizes a divergence between probability distributions to separate clusters </w:t>
      </w:r>
      <w:r w:rsidR="00C60C24">
        <w:fldChar w:fldCharType="begin"/>
      </w:r>
      <w:r w:rsidR="00C60C24">
        <w:instrText xml:space="preserve"> ADDIN ZOTERO_ITEM CSL_CITATION {"citationID":"qYJrIMDO","properties":{"formattedCitation":"\\super 12\\nosupersub{}","plainCitation":"12","noteIndex":0},"citationItems":[{"id":5194,"uris":["http://zotero.org/users/local/FhkaGxCY/items/PDUSNQ9L"],"itemData":{"id":5194,"type":"article-journal","abstract":"Abstract\n            Single-cell transcriptomics yields ever growing data sets containing RNA expression levels for thousands of genes from up to millions of cells. Common data analysis pipelines include a dimensionality reduction step for visualising the data in two dimensions, most frequently performed using t-distributed stochastic neighbour embedding (t-SNE). It excels at revealing local structure in high-dimensional data, but naive applications often suffer from severe shortcomings, e.g. the global structure of the data is not represented accurately. Here we describe how to circumvent such pitfalls, and develop a protocol for creating more faithful t-SNE visualisations. It includes PCA initialisation, a high learning rate, and multi-scale similarity kernels; for very large data sets, we additionally use exaggeration and downsampling-based initialisation. We use published single-cell RNA-seq data sets to demonstrate that this protocol yields superior results compared to the naive application of t-SNE.","container-title":"Nature Communications","DOI":"10.1038/s41467-019-13056-x","ISSN":"2041-1723","issue":"1","journalAbbreviation":"Nat Commun","language":"en","page":"5416","source":"DOI.org (Crossref)","title":"The art of using t-SNE for single-cell transcriptomics","volume":"10","author":[{"family":"Kobak","given":"Dmitry"},{"family":"Berens","given":"Philipp"}],"issued":{"date-parts":[["2019",11,28]]}}}],"schema":"https://github.com/citation-style-language/schema/raw/master/csl-citation.json"} </w:instrText>
      </w:r>
      <w:r w:rsidR="00C60C24">
        <w:fldChar w:fldCharType="separate"/>
      </w:r>
      <w:r w:rsidR="00C60C24" w:rsidRPr="00C60C24">
        <w:rPr>
          <w:rFonts w:cs="Times New Roman"/>
          <w:szCs w:val="24"/>
          <w:vertAlign w:val="superscript"/>
        </w:rPr>
        <w:t>12</w:t>
      </w:r>
      <w:r w:rsidR="00C60C24">
        <w:fldChar w:fldCharType="end"/>
      </w:r>
      <w:r>
        <w:t xml:space="preserve">; PHATE </w:t>
      </w:r>
      <w:r>
        <w:t>captures data geometry through a diffusion process. Spatial decomposition methods such as Tangram</w:t>
      </w:r>
      <w:r w:rsidR="00C60C24">
        <w:fldChar w:fldCharType="begin"/>
      </w:r>
      <w:r w:rsidR="00C60C24">
        <w:instrText xml:space="preserve"> ADDIN ZOTERO_ITEM CSL_CITATION {"citationID":"zJX2rLT1","properties":{"formattedCitation":"\\super 13\\nosupersub{}","plainCitation":"13","noteIndex":0},"citationItems":[{"id":5196,"uris":["http://zotero.org/users/local/FhkaGxCY/items/543UNZ4N"],"itemData":{"id":5196,"type":"article-journal","abstract":"Abstract\n            Charting an organs’ biological atlas requires us to spatially resolve the entire single-cell transcriptome, and to relate such cellular features to the anatomical scale. Single-cell and single-nucleus RNA-seq (sc/snRNA-seq) can profile cells comprehensively, but lose spatial information. Spatial transcriptomics allows for spatial measurements, but at lower resolution and with limited sensitivity. Targeted in situ technologies solve both issues, but are limited in gene throughput. To overcome these limitations we present Tangram, a method that aligns sc/snRNA-seq data to various forms of spatial data collected from the same region, including MERFISH, STARmap, smFISH, Spatial Transcriptomics (Visium) and histological images. Tangram can map any type of sc/snRNA-seq data, including multimodal data such as those from SHARE-seq, which we used to reveal spatial patterns of chromatin accessibility. We demonstrate Tangram on healthy mouse brain tissue, by reconstructing a genome-wide anatomically integrated spatial map at single-cell resolution of the visual and somatomotor areas.","container-title":"Nature Methods","DOI":"10.1038/s41592-021-01264-7","ISSN":"1548-7091, 1548-7105","issue":"11","journalAbbreviation":"Nat Methods","language":"en","page":"1352-1362","source":"DOI.org (Crossref)","title":"Deep learning and alignment of spatially resolved single-cell transcriptomes with Tangram","volume":"18","author":[{"family":"Biancalani","given":"Tommaso"},{"family":"Scalia","given":"Gabriele"},{"family":"Buffoni","given":"Lorenzo"},{"family":"Avasthi","given":"Raghav"},{"family":"Lu","given":"Ziqing"},{"family":"Sanger","given":"Aman"},{"family":"Tokcan","given":"Neriman"},{"family":"Vanderburg","given":"Charles R."},{"family":"Segerstolpe","given":"Åsa"},{"family":"Zhang","given":"Meng"},{"family":"Avraham-Davidi","given":"Inbal"},{"family":"Vickovic","given":"Sanja"},{"family":"Nitzan","given":"Mor"},{"family":"Ma","given":"Sai"},{"family":"Subramanian","given":"Ayshwarya"},{"family":"Lipinski","given":"Michal"},{"family":"Buenrostro","given":"Jason"},{"family":"Brown","given":"Nik Bear"},{"family":"Fanelli","given":"Duccio"},{"family":"Zhuang","given":"Xiaowei"},{"family":"Macosko","given":"Evan Z."},{"family":"Regev","given":"Aviv"}],"issued":{"date-parts":[["2021",11]]}}}],"schema":"https://github.com/citation-style-language/schema/raw/master/csl-citation.json"} </w:instrText>
      </w:r>
      <w:r w:rsidR="00C60C24">
        <w:fldChar w:fldCharType="separate"/>
      </w:r>
      <w:r w:rsidR="00C60C24" w:rsidRPr="00C60C24">
        <w:rPr>
          <w:rFonts w:cs="Times New Roman"/>
          <w:szCs w:val="24"/>
          <w:vertAlign w:val="superscript"/>
        </w:rPr>
        <w:t>13</w:t>
      </w:r>
      <w:r w:rsidR="00C60C24">
        <w:fldChar w:fldCharType="end"/>
      </w:r>
      <w:r>
        <w:t xml:space="preserve"> and BayesSpace</w:t>
      </w:r>
      <w:r w:rsidR="00C60C24">
        <w:fldChar w:fldCharType="begin"/>
      </w:r>
      <w:r w:rsidR="00C60C24">
        <w:instrText xml:space="preserve"> ADDIN ZOTERO_ITEM CSL_CITATION {"citationID":"yO9w8xny","properties":{"formattedCitation":"\\super 14\\nosupersub{}","plainCitation":"14","noteIndex":0},"citationItems":[{"id":5198,"uris":["http://zotero.org/users/local/FhkaGxCY/items/VV99856I"],"itemData":{"id":5198,"type":"article-journal","container-title":"Nature Biotechnology","DOI":"10.1038/s41587-021-00935-2","ISSN":"1087-0156, 1546-1696","issue":"11","journalAbbreviation":"Nat Biotechnol","language":"en","page":"1375-1384","source":"DOI.org (Crossref)","title":"Spatial transcriptomics at subspot resolution with BayesSpace","volume":"39","author":[{"family":"Zhao","given":"Edward"},{"family":"Stone","given":"Matthew R."},{"family":"Ren","given":"Xing"},{"family":"Guenthoer","given":"Jamie"},{"family":"Smythe","given":"Kimberly S."},{"family":"Pulliam","given":"Thomas"},{"family":"Williams","given":"Stephen R."},{"family":"Uytingco","given":"Cedric R."},{"family":"Taylor","given":"Sarah E. B."},{"family":"Nghiem","given":"Paul"},{"family":"Bielas","given":"Jason H."},{"family":"Gottardo","given":"Raphael"}],"issued":{"date-parts":[["2021",11]]}}}],"schema":"https://github.com/citation-style-language/schema/raw/master/csl-citation.json"} </w:instrText>
      </w:r>
      <w:r w:rsidR="00C60C24">
        <w:fldChar w:fldCharType="separate"/>
      </w:r>
      <w:r w:rsidR="00C60C24" w:rsidRPr="00C60C24">
        <w:rPr>
          <w:rFonts w:cs="Times New Roman"/>
          <w:szCs w:val="24"/>
          <w:vertAlign w:val="superscript"/>
        </w:rPr>
        <w:t>14</w:t>
      </w:r>
      <w:r w:rsidR="00C60C24">
        <w:fldChar w:fldCharType="end"/>
      </w:r>
      <w:r w:rsidR="00C60C24">
        <w:t xml:space="preserve"> </w:t>
      </w:r>
      <w:r>
        <w:t>address different tasks (cell-type mapping and subspot resolution, respectively) but do not produce interpretable low-dimensional emb</w:t>
      </w:r>
      <w:r>
        <w:t>eddings. However, none of these methods explicitly models the hierarchical organization that is intrinsic to biological tissues, where cells differentiate along branching trajectories and tissue regions are organized in nested spatial domains.</w:t>
      </w:r>
    </w:p>
    <w:p w:rsidR="00FD3080" w:rsidRDefault="007C3393">
      <w:r>
        <w:t>Hyperbolic g</w:t>
      </w:r>
      <w:r>
        <w:t>eometry provides a natural mathematical framework for hierarchical structures</w:t>
      </w:r>
      <w:r w:rsidR="00DF6DE7">
        <w:fldChar w:fldCharType="begin"/>
      </w:r>
      <w:r w:rsidR="00DF6DE7">
        <w:instrText xml:space="preserve"> ADDIN ZOTERO_ITEM CSL_CITATION {"citationID":"JOxRnTj2","properties":{"formattedCitation":"\\super 15\\nosupersub{}","plainCitation":"15","noteIndex":0},"citationItems":[{"id":5199,"uris":["http://zotero.org/users/local/FhkaGxCY/items/HKMNK4XL"],"itemData":{"id":5199,"type":"chapter","container-title":"Graph Drawing","DOI":"10.1007/978-3-642-25878-7_34","ISBN":"978-3-642-25877-0","note":"collection-title: Lecture Notes in Computer Science","page":"355-366","publisher":"Springer Berlin Heidelberg","publisher-place":"Berlin, Heidelberg","source":"DOI.org (Crossref)","title":"Low Distortion Delaunay Embedding of Trees in Hyperbolic Plane","URL":"http://link.springer.com/10.1007/978-3-642-25878-7_34","volume":"7034","editor":[{"family":"Van Kreveld","given":"Marc"},{"family":"Speckmann","given":"Bettina"}],"author":[{"family":"Sarkar","given":"Rik"}],"accessed":{"date-parts":[["2026",5,11]]},"issued":{"date-parts":[["2012"]]}}}],"schema":"https://github.com/citation-style-language/schema/raw/master/csl-citation.json"} </w:instrText>
      </w:r>
      <w:r w:rsidR="00DF6DE7">
        <w:fldChar w:fldCharType="separate"/>
      </w:r>
      <w:r w:rsidR="00DF6DE7" w:rsidRPr="00DF6DE7">
        <w:rPr>
          <w:rFonts w:cs="Times New Roman"/>
          <w:szCs w:val="24"/>
          <w:vertAlign w:val="superscript"/>
        </w:rPr>
        <w:t>15</w:t>
      </w:r>
      <w:r w:rsidR="00DF6DE7">
        <w:fldChar w:fldCharType="end"/>
      </w:r>
      <w:r>
        <w:t>. Intuitively, placing a tree inside a Poincaré disk is like placing the root at the center and letting branches expand outward: the exponential increase in available area to</w:t>
      </w:r>
      <w:r>
        <w:t>ward the boundary naturally accommodates the exponential growth of tree nodes at each depth level. In the Poincaré disk model, the distance from the center increases exponentially toward the boundary, creating a natural 'zoom' effect: central positions rep</w:t>
      </w:r>
      <w:r>
        <w:t xml:space="preserve">resent general categories, while peripheral positions represent specialized subtypes. This property makes hyperbolic space ideal for embedding tree-like structures, with theoretical guarantees of O(ln n) distortion for n-node trees </w:t>
      </w:r>
      <w:r w:rsidR="00DF6DE7">
        <w:fldChar w:fldCharType="begin"/>
      </w:r>
      <w:r w:rsidR="00DF6DE7">
        <w:instrText xml:space="preserve"> ADDIN ZOTERO_ITEM CSL_CITATION {"citationID":"cTteHTtG","properties":{"formattedCitation":"\\super 15,16\\nosupersub{}","plainCitation":"15,16","noteIndex":0},"citationItems":[{"id":5199,"uris":["http://zotero.org/users/local/FhkaGxCY/items/HKMNK4XL"],"itemData":{"id":5199,"type":"chapter","container-title":"Graph Drawing","DOI":"10.1007/978-3-642-25878-7_34","ISBN":"978-3-642-25877-0","note":"collection-title: Lecture Notes in Computer Science","page":"355-366","publisher":"Springer Berlin Heidelberg","publisher-place":"Berlin, Heidelberg","source":"DOI.org (Crossref)","title":"Low Distortion Delaunay Embedding of Trees in Hyperbolic Plane","URL":"http://link.springer.com/10.1007/978-3-642-25878-7_34","volume":"7034","editor":[{"family":"Van Kreveld","given":"Marc"},{"family":"Speckmann","given":"Bettina"}],"author":[{"family":"Sarkar","given":"Rik"}],"accessed":{"date-parts":[["2026",5,11]]},"issued":{"date-parts":[["2012"]]}}},{"id":5201,"uris":["http://zotero.org/users/local/FhkaGxCY/items/JQ832ZLQ"],"itemData":{"id":5201,"type":"article-journal","container-title":"Israel Journal of Mathematics","DOI":"10.1007/BF02761110","ISSN":"0021-2172, 1565-8511","issue":"1","journalAbbreviation":"Israel J. Math.","language":"en","license":"http://www.springer.com/tdm","page":"333-344","source":"DOI.org (Crossref)","title":"On the distortion required for embedding finite metric spaces into normed spaces","volume":"93","author":[{"family":"Matoušek","given":"Jiří"}],"issued":{"date-parts":[["1996",12]]}}}],"schema":"https://github.com/citation-style-language/schema/raw/master/csl-citation.json"} </w:instrText>
      </w:r>
      <w:r w:rsidR="00DF6DE7">
        <w:fldChar w:fldCharType="separate"/>
      </w:r>
      <w:r w:rsidR="00DF6DE7" w:rsidRPr="00DF6DE7">
        <w:rPr>
          <w:rFonts w:cs="Times New Roman"/>
          <w:szCs w:val="24"/>
          <w:vertAlign w:val="superscript"/>
        </w:rPr>
        <w:t>15,16</w:t>
      </w:r>
      <w:r w:rsidR="00DF6DE7">
        <w:fldChar w:fldCharType="end"/>
      </w:r>
      <w:r>
        <w:t>. Poincaré embedd</w:t>
      </w:r>
      <w:r>
        <w:t xml:space="preserve">ings have been successfully applied to learning word hierarchies </w:t>
      </w:r>
      <w:r w:rsidR="000C56FA">
        <w:fldChar w:fldCharType="begin"/>
      </w:r>
      <w:r w:rsidR="000C56FA">
        <w:instrText xml:space="preserve"> ADDIN ZOTERO_ITEM CSL_CITATION {"citationID":"U7ms467I","properties":{"formattedCitation":"\\super 17\\nosupersub{}","plainCitation":"17","noteIndex":0},"citationItems":[{"id":5202,"uris":["http://zotero.org/users/local/FhkaGxCY/items/N588BDXN"],"itemData":{"id":5202,"type":"article","abstract":"Representation learning has become an invaluable approach for learning from symbolic data such as text and graphs. However, while complex symbolic datasets often exhibit a latent hierarchical structure, state-of-the-art methods typically learn embeddings in Euclidean vector spaces, which do not account for this property. For this purpose, we introduce a new approach for learning hierarchical representations of symbolic data by embedding them into hyperbolic space -- or more precisely into an n-dimensional Poincaré ball. Due to the underlying hyperbolic geometry, this allows us to learn parsimonious representations of symbolic data by simultaneously capturing hierarchy and similarity. We introduce an efficient algorithm to learn the embeddings based on Riemannian optimization and show experimentally that Poincaré embeddings outperform Euclidean embeddings significantly on data with latent hierarchies, both in terms of representation capacity and in terms of generalization ability.","DOI":"10.48550/arXiv.1705.08039","note":"arXiv:1705.08039 [cs]","number":"arXiv:1705.08039","publisher":"arXiv","source":"arXiv.org","title":"Poincaré Embeddings for Learning Hierarchical Representations","URL":"http://arxiv.org/abs/1705.08039","author":[{"family":"Nickel","given":"Maximilian"},{"family":"Kiela","given":"Douwe"}],"accessed":{"date-parts":[["2026",5,11]]},"issued":{"date-parts":[["2017",5,26]]}}}],"schema":"https://github.com/citation-style-language/schema/raw/master/csl-citation.json"} </w:instrText>
      </w:r>
      <w:r w:rsidR="000C56FA">
        <w:fldChar w:fldCharType="separate"/>
      </w:r>
      <w:r w:rsidR="000C56FA" w:rsidRPr="000C56FA">
        <w:rPr>
          <w:rFonts w:cs="Times New Roman"/>
          <w:szCs w:val="24"/>
          <w:vertAlign w:val="superscript"/>
        </w:rPr>
        <w:t>17</w:t>
      </w:r>
      <w:r w:rsidR="000C56FA">
        <w:fldChar w:fldCharType="end"/>
      </w:r>
      <w:r>
        <w:t xml:space="preserve"> and network embeddings </w:t>
      </w:r>
      <w:r w:rsidR="000C56FA">
        <w:fldChar w:fldCharType="begin"/>
      </w:r>
      <w:r w:rsidR="000C56FA">
        <w:instrText xml:space="preserve"> ADDIN ZOTERO_ITEM CSL_CITATION {"citationID":"aEgePqgl","properties":{"formattedCitation":"\\super 18\\nosupersub{}","plainCitation":"18","noteIndex":0},"citationItems":[{"id":5205,"uris":["http://zotero.org/users/local/FhkaGxCY/items/CJXEMQH3"],"itemData":{"id":5205,"type":"article-journal","abstract":"Abstract\n            Physicists recently observed that realistic complex networks emerge as discrete samples from a continuous hyperbolic geometry enclosed in a circle: the radius represents the node centrality and the angular displacement between two nodes resembles their topological proximity. The hyperbolic circle aims to become a universal space of representation and analysis of many real networks. Yet, inferring the angular coordinates to map a real network back to its latent geometry remains a challenging inverse problem. Here, we show that intelligent machines for unsupervised recognition and visualization of similarities in big data can also infer the network angular coordinates of the hyperbolic model according to a geometrical organization that we term “angular coalescence.” Based on this phenomenon, we propose a class of algorithms that offers fast and accurate “coalescent embedding” in the hyperbolic circle even for large networks. This computational solution to an inverse problem in physics of complex systems favors the application of network latent geometry techniques in disciplines dealing with big network data analysis including biology, medicine, and social science.","container-title":"Nature Communications","DOI":"10.1038/s41467-017-01825-5","ISSN":"2041-1723","issue":"1","journalAbbreviation":"Nat Commun","language":"en","page":"1615","source":"DOI.org (Crossref)","title":"Machine learning meets complex networks via coalescent embedding in the hyperbolic space","volume":"8","author":[{"family":"Muscoloni","given":"Alessandro"},{"family":"Thomas","given":"Josephine Maria"},{"family":"Ciucci","given":"Sara"},{"family":"Bianconi","given":"Ginestra"},{"family":"Cannistraci","given":"Carlo Vittorio"}],"issued":{"date-parts":[["2017",11,20]]}}}],"schema":"https://github.com/citation-style-language/schema/raw/master/csl-citation.json"} </w:instrText>
      </w:r>
      <w:r w:rsidR="000C56FA">
        <w:fldChar w:fldCharType="separate"/>
      </w:r>
      <w:r w:rsidR="000C56FA" w:rsidRPr="000C56FA">
        <w:rPr>
          <w:rFonts w:cs="Times New Roman"/>
          <w:szCs w:val="24"/>
          <w:vertAlign w:val="superscript"/>
        </w:rPr>
        <w:t>18</w:t>
      </w:r>
      <w:r w:rsidR="000C56FA">
        <w:fldChar w:fldCharType="end"/>
      </w:r>
      <w:r>
        <w:t>, but their application to spatial transcriptomics remains unexplored.</w:t>
      </w:r>
    </w:p>
    <w:p w:rsidR="00FD3080" w:rsidRDefault="007C3393">
      <w:r>
        <w:t>Here we introduce Poincaré multidimensional scaling (MDS), a method for embedding spatia</w:t>
      </w:r>
      <w:r>
        <w:t>l transcriptomics data into the Poincaré disk. Our approach computes k-nearest-neighbor (k-NN) graph shortest-path distances in principal component analysis (PCA) space, initializes via classical MDS (Torgerson scaling), and optimizes a stress function usi</w:t>
      </w:r>
      <w:r>
        <w:t xml:space="preserve">ng Riemannian Adam </w:t>
      </w:r>
      <w:r w:rsidR="000C56FA">
        <w:fldChar w:fldCharType="begin"/>
      </w:r>
      <w:r w:rsidR="000C56FA">
        <w:instrText xml:space="preserve"> ADDIN ZOTERO_ITEM CSL_CITATION {"citationID":"ABJCOn3u","properties":{"formattedCitation":"\\super 19\\nosupersub{}","plainCitation":"19","noteIndex":0},"citationItems":[{"id":5207,"uris":["http://zotero.org/users/local/FhkaGxCY/items/39RVZSG8"],"itemData":{"id":5207,"type":"article","abstract":"Several first order stochastic optimization methods commonly used in the Euclidean domain such as stochastic gradient descent (SGD), accelerated gradient descent or variance reduced methods have already been adapted to certain Riemannian settings. However, some of the most popular of these optimization tools - namely Adam , Adagrad and the more recent Amsgrad - remain to be generalized to Riemannian manifolds. We discuss the difficulty of generalizing such adaptive schemes to the most agnostic Riemannian setting, and then provide algorithms and convergence proofs for geodesically convex objectives in the particular case of a product of Riemannian manifolds, in which adaptivity is implemented across manifolds in the cartesian product. Our generalization is tight in the sense that choosing the Euclidean space as Riemannian manifold yields the same algorithms and regret bounds as those that were already known for the standard algorithms. Experimentally, we show faster convergence and to a lower train loss value for Riemannian adaptive methods over their corresponding baselines on the realistic task of embedding the WordNet taxonomy in the Poincare ball.","DOI":"10.48550/ARXIV.1810.00760","license":"arXiv.org perpetual, non-exclusive license","note":"version: 2","publisher":"arXiv","source":"DOI.org (Datacite)","title":"Riemannian Adaptive Optimization Methods","URL":"https://arxiv.org/abs/1810.00760","author":[{"family":"Bécigneul","given":"Gary"},{"family":"Ganea","given":"Octavian-Eugen"}],"accessed":{"date-parts":[["2026",5,11]]},"issued":{"date-parts":[["2018"]]}}}],"schema":"https://github.com/citation-style-language/schema/raw/master/csl-citation.json"} </w:instrText>
      </w:r>
      <w:r w:rsidR="000C56FA">
        <w:fldChar w:fldCharType="separate"/>
      </w:r>
      <w:r w:rsidR="000C56FA" w:rsidRPr="000C56FA">
        <w:rPr>
          <w:rFonts w:cs="Times New Roman"/>
          <w:szCs w:val="24"/>
          <w:vertAlign w:val="superscript"/>
        </w:rPr>
        <w:t>19</w:t>
      </w:r>
      <w:r w:rsidR="000C56FA">
        <w:fldChar w:fldCharType="end"/>
      </w:r>
      <w:r>
        <w:t>. We complement this with Hyperbolic Niche, a framework that defines cell neighborhoods using geodesic distances in the Poincaré disk rather than Euclidean spatial distances. We validate the method through: (1) theoretical analysis s</w:t>
      </w:r>
      <w:r>
        <w:t>howing O(ln D) stress scaling for hierarchical data; (2) biological discovery on gastric cancer spatial transcriptomics; (3) cross-platform validation on Slide-seq V2 mouse cerebellum; (4) cross-tissue validation on developmental cortex; and (5) comprehens</w:t>
      </w:r>
      <w:r>
        <w:t>ive benchmarking against PHATE, Euclidean MDS, and t-SNE.</w:t>
      </w:r>
    </w:p>
    <w:p w:rsidR="00FD3080" w:rsidRDefault="007C3393">
      <w:pPr>
        <w:pStyle w:val="1"/>
      </w:pPr>
      <w:r>
        <w:lastRenderedPageBreak/>
        <w:t>Results</w:t>
      </w:r>
    </w:p>
    <w:p w:rsidR="00FD3080" w:rsidRDefault="007C3393">
      <w:pPr>
        <w:pStyle w:val="21"/>
      </w:pPr>
      <w:r>
        <w:t>Poincaré MDS embeds spatial transcriptomics into hyperbolic space</w:t>
      </w:r>
    </w:p>
    <w:p w:rsidR="00FD3080" w:rsidRDefault="007C3393">
      <w:r>
        <w:t>Poincaré MDS operates in three steps. First, we compute a k-nearest-neighbor graph (k = 30) in PCA space and define target d</w:t>
      </w:r>
      <w:r>
        <w:t>istances as shortest-path distances on this graph, which preserves local structure while capturing global connectivity. Second, we initialize the embedding via Torgerson scaling (classical MDS): given the target distance matrix D, we compute the double-cen</w:t>
      </w:r>
      <w:r>
        <w:t xml:space="preserve">tered matrix B = −0.5 H D² H, where H is the centering matrix, and extract the top-2 eigenvectors. Third, we optimize a stress function using Riemannian Adam </w:t>
      </w:r>
      <w:r w:rsidR="006B6912">
        <w:fldChar w:fldCharType="begin"/>
      </w:r>
      <w:r w:rsidR="006B6912">
        <w:instrText xml:space="preserve"> ADDIN ZOTERO_ITEM CSL_CITATION {"citationID":"UZDVFUl9","properties":{"formattedCitation":"\\super 19\\nosupersub{}","plainCitation":"19","noteIndex":0},"citationItems":[{"id":5207,"uris":["http://zotero.org/users/local/FhkaGxCY/items/39RVZSG8"],"itemData":{"id":5207,"type":"article","abstract":"Several first order stochastic optimization methods commonly used in the Euclidean domain such as stochastic gradient descent (SGD), accelerated gradient descent or variance reduced methods have already been adapted to certain Riemannian settings. However, some of the most popular of these optimization tools - namely Adam , Adagrad and the more recent Amsgrad - remain to be generalized to Riemannian manifolds. We discuss the difficulty of generalizing such adaptive schemes to the most agnostic Riemannian setting, and then provide algorithms and convergence proofs for geodesically convex objectives in the particular case of a product of Riemannian manifolds, in which adaptivity is implemented across manifolds in the cartesian product. Our generalization is tight in the sense that choosing the Euclidean space as Riemannian manifold yields the same algorithms and regret bounds as those that were already known for the standard algorithms. Experimentally, we show faster convergence and to a lower train loss value for Riemannian adaptive methods over their corresponding baselines on the realistic task of embedding the WordNet taxonomy in the Poincare ball.","DOI":"10.48550/ARXIV.1810.00760","license":"arXiv.org perpetual, non-exclusive license","note":"version: 2","publisher":"arXiv","source":"DOI.org (Datacite)","title":"Riemannian Adaptive Optimization Methods","URL":"https://arxiv.org/abs/1810.00760","author":[{"family":"Bécigneul","given":"Gary"},{"family":"Ganea","given":"Octavian-Eugen"}],"accessed":{"date-parts":[["2026",5,11]]},"issued":{"date-parts":[["2018"]]}}}],"schema":"https://github.com/citation-style-language/schema/raw/master/csl-citation.json"} </w:instrText>
      </w:r>
      <w:r w:rsidR="006B6912">
        <w:fldChar w:fldCharType="separate"/>
      </w:r>
      <w:r w:rsidR="006B6912" w:rsidRPr="006B6912">
        <w:rPr>
          <w:rFonts w:cs="Times New Roman"/>
          <w:szCs w:val="24"/>
          <w:vertAlign w:val="superscript"/>
        </w:rPr>
        <w:t>19</w:t>
      </w:r>
      <w:r w:rsidR="006B6912">
        <w:fldChar w:fldCharType="end"/>
      </w:r>
      <w:r>
        <w:t xml:space="preserve"> on the Poincaré ball manifold, with a repulsion term that prevents collapse toward the origin</w:t>
      </w:r>
      <w:r>
        <w:t>.</w:t>
      </w:r>
    </w:p>
    <w:p w:rsidR="00FD3080" w:rsidRDefault="007C3393">
      <w:r>
        <w:t xml:space="preserve">Applied to gastric cancer 10x Visium data from 10 tissue sections (GSE251950 </w:t>
      </w:r>
      <w:r w:rsidR="006B6912">
        <w:fldChar w:fldCharType="begin"/>
      </w:r>
      <w:r w:rsidR="006B6912">
        <w:instrText xml:space="preserve"> ADDIN ZOTERO_ITEM CSL_CITATION {"citationID":"Z4NlxSDL","properties":{"formattedCitation":"\\super 20\\nosupersub{}","plainCitation":"20","noteIndex":0},"citationItems":[{"id":5209,"uris":["http://zotero.org/users/local/FhkaGxCY/items/9SCJ6IEZ"],"itemData":{"id":5209,"type":"article-journal","abstract":"BACKGROUND: A spatially resolved, niche-level analysis of tumour microenvironments (TME) can provide insights into cellular interactions and their functional impacts in gastric cancers (GC).\nOBJECTIVE: Our goal was to translate the spatial organisation of GC ecosystems into a functional landscape of cellular interactions involving malignant, stromal and immune cells.\nDESIGN: We performed spatial transcriptomics on nine primary GC samples using the Visium platform to delineate the transcriptional landscape and dynamics of malignant, stromal and immune cells within the GC tissue architecture, highlighting cellular crosstalks and their functional consequences in the TME.\nRESULTS: GC spatial transcriptomes with substantial cellular heterogeneity were delineated into six regional compartments. Specifically, the fibroblast-enriched TME upregulates epithelial-to-mesenchymal transformation and immunosuppressive response in malignant and TME cells, respectively. Cell type-specific transcriptional dynamics revealed that malignant and endothelial cells promote the cellular proliferations of TME cells, whereas the fibroblasts and immune cells are associated with procancer and anticancer immunity, respectively. Ligand-receptor analysis revealed that CCL2-expressing fibroblasts promote the tumour progression via JAK-STAT3 signalling and inflammatory response in tumour-infiltrated macrophages. CCL2+ fibroblasts and STAT3-activated macrophages are co-localised and their co-abundance was associated with unfavourable prognosis. We experimentally validated that CCL2+ fibroblasts recruit myeloid cells and stimulate STAT3 activation in recruited macrophages. The development of immunosuppressive TME by CCL2+ fibroblasts were also validated in syngeneic mouse models.\nCONCLUSION: GC spatial transcriptomes revealed functional cellular crosstalk involving multiple cell types among which the interaction between CCL2+ fibroblasts and STAT3-activated macrophages plays roles in establishing immune-suppressive GC TME with potential clinical relevance.","container-title":"Gut","DOI":"10.1136/gutjnl-2024-332901","ISSN":"1468-3288","issue":"5","journalAbbreviation":"Gut","language":"eng","page":"714-727","PMID":"39580151","PMCID":"PMC12013559","source":"PubMed","title":"Spatial dissection of tumour microenvironments in gastric cancers reveals the immunosuppressive crosstalk between CCL2+ fibroblasts and STAT3-activated macrophages","volume":"74","author":[{"family":"Lee","given":"Sung Hak"},{"family":"Lee","given":"Dagyeong"},{"family":"Choi","given":"Junyong"},{"family":"Oh","given":"Hye Jeong"},{"family":"Ham","given":"In-Hye"},{"family":"Ryu","given":"Daeun"},{"family":"Lee","given":"Seo-Yeong"},{"family":"Han","given":"Dong-Jin"},{"family":"Kim","given":"Sunmin"},{"family":"Moon","given":"Youngbeen"},{"family":"Song","given":"In-Hye"},{"family":"Song","given":"Kyo Young"},{"family":"Lee","given":"Hyeseong"},{"family":"Lee","given":"Seungho"},{"family":"Hur","given":"Hoon"},{"family":"Kim","given":"Tae-Min"}],"issued":{"date-parts":[["2025",4,7]]}}}],"schema":"https://github.com/citation-style-language/schema/raw/master/csl-citation.json"} </w:instrText>
      </w:r>
      <w:r w:rsidR="006B6912">
        <w:fldChar w:fldCharType="separate"/>
      </w:r>
      <w:r w:rsidR="006B6912" w:rsidRPr="006B6912">
        <w:rPr>
          <w:rFonts w:cs="Times New Roman"/>
          <w:szCs w:val="24"/>
          <w:vertAlign w:val="superscript"/>
        </w:rPr>
        <w:t>20</w:t>
      </w:r>
      <w:r w:rsidR="006B6912">
        <w:fldChar w:fldCharType="end"/>
      </w:r>
      <w:r>
        <w:t>; 4,252 spots), Poincaré MDS produced a well-structured embedding on the unit disk (Figure 1a), with spatial coordinates preserving tissue layout (Figure 1b). The radius dis</w:t>
      </w:r>
      <w:r>
        <w:t>tribution varied substantially across clusters (Figure 1c), with some clusters concentrated near the center and others spread toward the boundary. Cell type signatures — computed as z-score-normalized module scores for six reference cell types — showed spa</w:t>
      </w:r>
      <w:r>
        <w:t>tially coherent patterns on the disk: epithelial cells (EPCAM, KRT18, KRT19, KRT8) clustered near the center, while immune cells (CD3D, CD68) localized to the periphery (Figure 1d, top 30% by module score shown). The Poincaré geodesic distance correlated s</w:t>
      </w:r>
      <w:r>
        <w:t>trongly with PCA-space Euclidean distance (Pearson r shown in Figure 1e), confirming that the embedding preserves the global distance structure of the original data. Figure 1f provides a schematic of the three-step algorithm.</w:t>
      </w:r>
    </w:p>
    <w:p w:rsidR="00FD3080" w:rsidRDefault="007C3393">
      <w:pPr>
        <w:pStyle w:val="21"/>
      </w:pPr>
      <w:r>
        <w:t>Empirical validation of logari</w:t>
      </w:r>
      <w:r>
        <w:t>thmic stress scaling</w:t>
      </w:r>
    </w:p>
    <w:p w:rsidR="00FD3080" w:rsidRDefault="007C3393">
      <w:r>
        <w:t xml:space="preserve">Sarkar </w:t>
      </w:r>
      <w:r w:rsidR="006B6912">
        <w:fldChar w:fldCharType="begin"/>
      </w:r>
      <w:r w:rsidR="006B6912">
        <w:instrText xml:space="preserve"> ADDIN ZOTERO_ITEM CSL_CITATION {"citationID":"zRLq234N","properties":{"formattedCitation":"\\super 15\\nosupersub{}","plainCitation":"15","noteIndex":0},"citationItems":[{"id":5199,"uris":["http://zotero.org/users/local/FhkaGxCY/items/HKMNK4XL"],"itemData":{"id":5199,"type":"chapter","container-title":"Graph Drawing","DOI":"10.1007/978-3-642-25878-7_34","ISBN":"978-3-642-25877-0","note":"collection-title: Lecture Notes in Computer Science","page":"355-366","publisher":"Springer Berlin Heidelberg","publisher-place":"Berlin, Heidelberg","source":"DOI.org (Crossref)","title":"Low Distortion Delaunay Embedding of Trees in Hyperbolic Plane","URL":"http://link.springer.com/10.1007/978-3-642-25878-7_34","volume":"7034","editor":[{"family":"Van Kreveld","given":"Marc"},{"family":"Speckmann","given":"Bettina"}],"author":[{"family":"Sarkar","given":"Rik"}],"accessed":{"date-parts":[["2026",5,11]]},"issued":{"date-parts":[["2012"]]}}}],"schema":"https://github.com/citation-style-language/schema/raw/master/csl-citation.json"} </w:instrText>
      </w:r>
      <w:r w:rsidR="006B6912">
        <w:fldChar w:fldCharType="separate"/>
      </w:r>
      <w:r w:rsidR="006B6912" w:rsidRPr="006B6912">
        <w:rPr>
          <w:rFonts w:cs="Times New Roman"/>
          <w:szCs w:val="24"/>
          <w:vertAlign w:val="superscript"/>
        </w:rPr>
        <w:t>15</w:t>
      </w:r>
      <w:r w:rsidR="006B6912">
        <w:fldChar w:fldCharType="end"/>
      </w:r>
      <w:r>
        <w:t xml:space="preserve"> proved that any tree of depth D can be embedded into the Poincaré disk with distortion O(ln D), and this bound is tight for balanced binary trees </w:t>
      </w:r>
      <w:r w:rsidR="006B6912">
        <w:fldChar w:fldCharType="begin"/>
      </w:r>
      <w:r w:rsidR="006B6912">
        <w:instrText xml:space="preserve"> ADDIN ZOTERO_ITEM CSL_CITATION {"citationID":"24qTC1fM","properties":{"formattedCitation":"\\super 16\\nosupersub{}","plainCitation":"16","noteIndex":0},"citationItems":[{"id":5201,"uris":["http://zotero.org/users/local/FhkaGxCY/items/JQ832ZLQ"],"itemData":{"id":5201,"type":"article-journal","container-title":"Israel Journal of Mathematics","DOI":"10.1007/BF02761110","ISSN":"0021-2172, 1565-8511","issue":"1","journalAbbreviation":"Israel J. Math.","language":"en","license":"http://www.springer.com/tdm","page":"333-344","source":"DOI.org (Crossref)","title":"On the distortion required for embedding finite metric spaces into normed spaces","volume":"93","author":[{"family":"Matoušek","given":"Jiří"}],"issued":{"date-parts":[["1996",12]]}}}],"schema":"https://github.com/citation-style-language/schema/raw/master/csl-citation.json"} </w:instrText>
      </w:r>
      <w:r w:rsidR="006B6912">
        <w:fldChar w:fldCharType="separate"/>
      </w:r>
      <w:r w:rsidR="006B6912" w:rsidRPr="006B6912">
        <w:rPr>
          <w:rFonts w:cs="Times New Roman"/>
          <w:szCs w:val="24"/>
          <w:vertAlign w:val="superscript"/>
        </w:rPr>
        <w:t>16</w:t>
      </w:r>
      <w:r w:rsidR="006B6912">
        <w:fldChar w:fldCharType="end"/>
      </w:r>
      <w:r>
        <w:t>. To test whether this guarantee manifests in practice, we generated bina</w:t>
      </w:r>
      <w:r>
        <w:t>ry tree structures at depths 2–8 (20 samples per leaf, Gaussian noise σ = 0.3) and compared Poincaré MDS and Euclidean MDS embeddings (Figure 2a shows a depth-4 tree schematic; Figure 2b,c show the two embeddings).</w:t>
      </w:r>
    </w:p>
    <w:p w:rsidR="00FD3080" w:rsidRDefault="007C3393">
      <w:r>
        <w:t xml:space="preserve">Poincaré MDS stress empirically followed </w:t>
      </w:r>
      <w:r>
        <w:t xml:space="preserve">a logarithmic scaling law: stress ≈ 0.170 × ln(D) − 0.045 (R² = 0.997), while Euclidean MDS stress grew approximately linearly (R² = 0.925). A crossover occurred near depth 4 (Figure 2d): for shallow trees (depth ≤ 3), Euclidean MDS achieved lower stress, </w:t>
      </w:r>
      <w:r>
        <w:t>while for deeper trees (depth ≥ 5), Poincaré MDS consistently outperformed Euclidean MDS. At depth 4, the two methods had nearly identical stress (difference &lt; 0.003), with the Poincaré advantage increasing substantially at greater depths.</w:t>
      </w:r>
    </w:p>
    <w:p w:rsidR="00FD3080" w:rsidRDefault="007C3393">
      <w:r>
        <w:t>Adaptive curvatu</w:t>
      </w:r>
      <w:r>
        <w:t>re learning reflected this pattern (Supplementary Figure 2). The grid search over c ∈ {0.1, 0.2, 0.3, 0.5, 0.7, 1.0, 1.5, 2.0} selected progressively lower curvature values for deeper trees (Figure 2e), corresponding to tighter hyperbolic geometry with gre</w:t>
      </w:r>
      <w:r>
        <w:t>ater volume expansion near the boundary. For flat, non-hierarchical data, higher curvature (c = 2.0) was selected, effectively reducing hyperbolic distortion (Figure 2f). On real gastric cancer data, the optimal curvature was c = 0.3, indicating moderate h</w:t>
      </w:r>
      <w:r>
        <w:t>ierarchical structure.</w:t>
      </w:r>
    </w:p>
    <w:p w:rsidR="00FD3080" w:rsidRDefault="007C3393">
      <w:pPr>
        <w:pStyle w:val="21"/>
      </w:pPr>
      <w:r>
        <w:lastRenderedPageBreak/>
        <w:t>Biological discovery in gastric cancer tissue</w:t>
      </w:r>
    </w:p>
    <w:p w:rsidR="00FD3080" w:rsidRDefault="007C3393">
      <w:r>
        <w:t>We divided the Poincaré disk into three zones using the 33rd and 67th percentiles of the radius distribution, yielding approximately equal-sized regions (33% inner, 34% middle, 33% outer;</w:t>
      </w:r>
      <w:r>
        <w:t xml:space="preserve"> Figure 3a). Kruskal–Wallis tests on z-score-normalized cell-type module scores revealed significant differential distribution across zones for five of six cell types after Benjamini–Hochberg FDR correction (q &lt; 10⁻¹⁰ for Epithelial, Fibroblast, T cell, Ma</w:t>
      </w:r>
      <w:r>
        <w:t>crophage, and CAF; q = 0.019 for Endothelial; Figure 3b). Epithelial markers were enriched in the inner zone (mean z-score = 0.271), while Macrophage markers were enriched in the outer zone (mean z-score = 0.197), recapitulating the known tumor-immune spat</w:t>
      </w:r>
      <w:r>
        <w:t xml:space="preserve">ial organization of gastric cancer </w:t>
      </w:r>
      <w:r w:rsidR="006B6912">
        <w:fldChar w:fldCharType="begin"/>
      </w:r>
      <w:r w:rsidR="006B6912">
        <w:instrText xml:space="preserve"> ADDIN ZOTERO_ITEM CSL_CITATION {"citationID":"uD0VooGE","properties":{"formattedCitation":"\\super 21,22\\nosupersub{}","plainCitation":"21,22","noteIndex":0},"citationItems":[{"id":5211,"uris":["http://zotero.org/users/local/FhkaGxCY/items/WJDK5Z3H"],"itemData":{"id":5211,"type":"article-journal","container-title":"Cell","DOI":"10.1016/j.cell.2018.08.039","ISSN":"00928674","issue":"6","journalAbbreviation":"Cell","language":"en","page":"1373-1387.e19","source":"DOI.org (Crossref)","title":"A Structured Tumor-Immune Microenvironment in Triple Negative Breast Cancer Revealed by Multiplexed Ion Beam Imaging","volume":"174","author":[{"family":"Keren","given":"Leeat"},{"family":"Bosse","given":"Marc"},{"family":"Marquez","given":"Diana"},{"family":"Angoshtari","given":"Roshan"},{"family":"Jain","given":"Samir"},{"family":"Varma","given":"Sushama"},{"family":"Yang","given":"Soo-Ryum"},{"family":"Kurian","given":"Allison"},{"family":"Van Valen","given":"David"},{"family":"West","given":"Robert"},{"family":"Bendall","given":"Sean C."},{"family":"Angelo","given":"Michael"}],"issued":{"date-parts":[["2018",9]]}}},{"id":5212,"uris":["http://zotero.org/users/local/FhkaGxCY/items/ZSEJRKSB"],"itemData":{"id":5212,"type":"article-journal","abstract":"Effective immunotherapy promotes the killing of cancer cells by cytotoxic T cells. This requires not only that cancer-specific T cells be generated, but also that these T cells physically contact cancer cells. The coexistence in some patients of cancer cells and T cells that recognize them indicates that tumors may exhibit the phenomenon of immune privilege, in which immunogenic tissue is protected from immune attack. Here, we review the evidence that stromal cells of the tumor microenvironment mediate this restriction by excluding T cells from the vicinity of cancer cells. Overcoming this T cell checkpoint may thus enable optimal immunotherapy.","container-title":"Science","DOI":"10.1126/science.aaa6204","ISSN":"0036-8075, 1095-9203","issue":"6230","journalAbbreviation":"Science","language":"en","license":"http://www.sciencemag.org/about/science-licenses-journal-article-reuse","page":"74-80","source":"DOI.org (Crossref)","title":"T cell exclusion, immune privilege, and the tumor microenvironment","volume":"348","author":[{"family":"Joyce","given":"Johanna A."},{"family":"Fearon","given":"Douglas T."}],"issued":{"date-parts":[["2015",4,3]]}}}],"schema":"https://github.com/citation-style-language/schema/raw/master/csl-citation.json"} </w:instrText>
      </w:r>
      <w:r w:rsidR="006B6912">
        <w:fldChar w:fldCharType="separate"/>
      </w:r>
      <w:r w:rsidR="006B6912" w:rsidRPr="006B6912">
        <w:rPr>
          <w:rFonts w:cs="Times New Roman"/>
          <w:szCs w:val="24"/>
          <w:vertAlign w:val="superscript"/>
        </w:rPr>
        <w:t>21,22</w:t>
      </w:r>
      <w:r w:rsidR="006B6912">
        <w:fldChar w:fldCharType="end"/>
      </w:r>
      <w:r>
        <w:t>.</w:t>
      </w:r>
    </w:p>
    <w:p w:rsidR="00FD3080" w:rsidRDefault="007C3393">
      <w:r>
        <w:t>The Hierarchical Differential Score (HDS) quantified the radial ordering between all cell type pairs (Figure 3c). HDS(A, B) = r̄_A − r̄_B, where r̄ denotes the mean Poincaré radius; positive values (red) indicate</w:t>
      </w:r>
      <w:r>
        <w:t xml:space="preserve"> that cell type A is more peripheral than B. The HDS heatmap revealed a consistent hierarchy: epithelial and fibroblast cells occupied central positions, while macrophage and T cells localized to the periphery (***q &lt; 10⁻¹⁰, Mann–Whitney U test with Benjam</w:t>
      </w:r>
      <w:r>
        <w:t>ini–Hochberg FDR correction; Cohen's d &gt; 0.2 for all significant pairs).</w:t>
      </w:r>
    </w:p>
    <w:p w:rsidR="00FD3080" w:rsidRDefault="007C3393">
      <w:r>
        <w:t>KMeans clustering (k = 8) on the Poincaré embedding produced eight spatially coherent clusters (Figure 3d). Silhouette analysis showed that Poincaré MDS achieved comparable overall cl</w:t>
      </w:r>
      <w:r>
        <w:t>uster separation to Euclidean embedding (mean silhouette 0.12 vs. 0.11; Figure 3e), validating that the hyperbolic geometry does not compromise cluster quality despite its focus on hierarchical structure.</w:t>
      </w:r>
    </w:p>
    <w:p w:rsidR="00FD3080" w:rsidRDefault="007C3393">
      <w:pPr>
        <w:pStyle w:val="21"/>
      </w:pPr>
      <w:r>
        <w:t>Hyperbolic Niche reveals functional cell–cell inter</w:t>
      </w:r>
      <w:r>
        <w:t>actions</w:t>
      </w:r>
    </w:p>
    <w:p w:rsidR="00FD3080" w:rsidRDefault="007C3393">
      <w:r>
        <w:t xml:space="preserve">A key question is whether neighborhoods defined in hyperbolic space capture biologically meaningful cell–cell relationships that physical spatial neighborhoods miss. We addressed this using the Hyperbolic Niche framework: for each spot, we defined </w:t>
      </w:r>
      <w:r>
        <w:t>its niche as the k = 30 nearest neighbors in Poincaré geodesic distance, and compared this to physical k-nearest neighbors in Euclidean tissue space.</w:t>
      </w:r>
    </w:p>
    <w:p w:rsidR="00FD3080" w:rsidRDefault="007C3393">
      <w:r>
        <w:t>Hyperbolic niches showed markedly higher cell type purity than physical spatial neighborhoods (mean purity</w:t>
      </w:r>
      <w:r>
        <w:t xml:space="preserve"> 0.932 vs. 0.560 at k = 30, p &lt; 10⁻¹⁴⁰, Mann–Whitney U test; Cliff's δ = 0.89; Figure 3f), confirming that Poincaré geodesic distance produces more biologically coherent neighborhoods. Sensitivity analysis shows this purity advantage is robust across k </w:t>
      </w:r>
      <w:r w:rsidR="002F50D5">
        <w:t xml:space="preserve">= </w:t>
      </w:r>
      <w:r w:rsidR="002F50D5" w:rsidRPr="002F50D5">
        <w:t>10 to 30</w:t>
      </w:r>
      <w:r>
        <w:t xml:space="preserve"> (Figure 3f). For functional cell type pair enrichment, hyperbolic neighborhoods preferentially co-localized endothelial–macrophage pairs (enrichment 1.17× vs. 1.01× in spatial neighborhoods; permutation z = 8.98, one-sided q &lt; 10⁻⁴ after BH FDR cor</w:t>
      </w:r>
      <w:r>
        <w:t>rection) and CAF–macrophage pairs (1.03× vs. 0.86×; z = 1.70, one-sided q = 0.09), while neither was significantly enriched in physical neighborhoods (one-sided p &gt; 0.25; Supplementary Table 4).</w:t>
      </w:r>
    </w:p>
    <w:p w:rsidR="00FD3080" w:rsidRDefault="007C3393">
      <w:r>
        <w:t xml:space="preserve">To directly test whether hyperbolic neighborhoods capture </w:t>
      </w:r>
      <w:r>
        <w:t xml:space="preserve">functional signaling, we computed inter-cellular ligand–receptor (LR) interaction potentials </w:t>
      </w:r>
      <w:r w:rsidR="0095093B">
        <w:fldChar w:fldCharType="begin"/>
      </w:r>
      <w:r w:rsidR="0095093B">
        <w:instrText xml:space="preserve"> ADDIN ZOTERO_ITEM CSL_CITATION {"citationID":"HCkUiU2D","properties":{"formattedCitation":"\\super 23,24\\nosupersub{}","plainCitation":"23,24","noteIndex":0},"citationItems":[{"id":5213,"uris":["http://zotero.org/users/local/FhkaGxCY/items/X3ZQHLPT"],"itemData":{"id":5213,"type":"article-journal","abstract":"Abstract\n            The growing availability of single-cell data, especially transcriptomics, has sparked an increased interest in the inference of cell-cell communication. Many computational tools were developed for this purpose. Each of them consists of a resource of intercellular interactions prior knowledge and a method to predict potential cell-cell communication events. Yet the impact of the choice of resource and method on the resulting predictions is largely unknown. To shed light on this, we systematically compare 16 cell-cell communication inference resources and 7 methods, plus the consensus between the methods’ predictions. Among the resources, we find few unique interactions, a varying degree of overlap, and an uneven coverage of specific pathways and tissue-enriched proteins. We then examine all possible combinations of methods and resources and show that both strongly influence the predicted intercellular interactions. Finally, we assess the agreement of cell-cell communication methods with spatial colocalisation, cytokine activities, and receptor protein abundance and find that predictions are generally coherent with those data modalities. To facilitate the use of the methods and resources described in this work, we provide LIANA, a LIgand-receptor ANalysis frAmework as an open-source interface to all the resources and methods.","container-title":"Nature Communications","DOI":"10.1038/s41467-022-30755-0","ISSN":"2041-1723","issue":"1","journalAbbreviation":"Nat Commun","language":"en","page":"3224","source":"DOI.org (Crossref)","title":"Comparison of methods and resources for cell-cell communication inference from single-cell RNA-Seq data","volume":"13","author":[{"family":"Dimitrov","given":"Daniel"},{"family":"Türei","given":"Dénes"},{"family":"Garrido-Rodriguez","given":"Martin"},{"family":"Burmedi","given":"Paul L."},{"family":"Nagai","given":"James S."},{"family":"Boys","given":"Charlotte"},{"family":"Ramirez Flores","given":"Ricardo O."},{"family":"Kim","given":"Hyojin"},{"family":"Szalai","given":"Bence"},{"family":"Costa","given":"Ivan G."},{"family":"Valdeolivas","given":"Alberto"},{"family":"Dugourd","given":"Aurélien"},{"family":"Saez-Rodriguez","given":"Julio"}],"issued":{"date-parts":[["2022",6,9]]}}},{"id":5215,"uris":["http://zotero.org/users/local/FhkaGxCY/items/4LDEWJF5"],"itemData":{"id":5215,"type":"article-journal","container-title":"Nature Protocols","DOI":"10.1038/s41596-020-0292-x","ISSN":"1754-2189, 1750-2799","issue":"4","journalAbbreviation":"Nat Protoc","language":"en","page":"1484-1506","source":"DOI.org (Crossref)","title":"CellPhoneDB: inferring cell–cell communication from combined expression of multi-subunit ligand–receptor complexes","title-short":"CellPhoneDB","volume":"15","author":[{"family":"Efremova","given":"Mirjana"},{"family":"Vento-Tormo","given":"Miquel"},{"family":"Teichmann","given":"Sarah A."},{"family":"Vento-Tormo","given":"Roser"}],"issued":{"date-parts":[["2020",4,1]]}}}],"schema":"https://github.com/citation-style-language/schema/raw/master/csl-citation.json"} </w:instrText>
      </w:r>
      <w:r w:rsidR="0095093B">
        <w:fldChar w:fldCharType="separate"/>
      </w:r>
      <w:r w:rsidR="0095093B" w:rsidRPr="0095093B">
        <w:rPr>
          <w:rFonts w:cs="Times New Roman"/>
          <w:szCs w:val="24"/>
          <w:vertAlign w:val="superscript"/>
        </w:rPr>
        <w:t>23,24</w:t>
      </w:r>
      <w:r w:rsidR="0095093B">
        <w:fldChar w:fldCharType="end"/>
      </w:r>
      <w:r>
        <w:t>. We focused on two pairs known to be mediated by diffusible signals — CAF–macrophage (CXCL12–CXCR4) and endothelial–macrophage (VEGFA–FLT1) — with epitheli</w:t>
      </w:r>
      <w:r>
        <w:t>al–macrophage (CD44–LYVE1, contact-dependent) as a negative control. CAF–macrophage interaction potential was significantly higher in hyperbolic than spatial neighborhoods (mean 0.201 vs. 0.188; Mann–Whitney q = 0.024 with BH FDR correction; Cliff's δ = 0.</w:t>
      </w:r>
      <w:r>
        <w:t xml:space="preserve">04; 1.07×), as was endothelial–macrophage potential (0.280 vs. </w:t>
      </w:r>
      <w:r>
        <w:lastRenderedPageBreak/>
        <w:t xml:space="preserve">0.269; q = 0.017; Cliff's δ = 0.03; 1.04×; Supplementary Figure 6a,b). By contrast, epithelial–macrophage interactions showed higher co-expression in physical neighborhoods (q = 0.003; Cliff's </w:t>
      </w:r>
      <w:r>
        <w:t xml:space="preserve">δ = −0.06; Supplementary Figure 6c), consistent with contact-dependent signaling. Absolute fold changes are modest due to the inherent sparsity of LR co-expression in spatial transcriptomics, but the consistent direction across diffusible-signal pairs and </w:t>
      </w:r>
      <w:r>
        <w:t>the contrasting pattern for contact-dependent signaling support biological relevance.</w:t>
      </w:r>
    </w:p>
    <w:p w:rsidR="00FD3080" w:rsidRDefault="007C3393">
      <w:r>
        <w:t>We emphasize that hyperbolic co-localization does not imply direct physical interaction — rather, it identifies neighborhoods of cells that share similar hierarchical pos</w:t>
      </w:r>
      <w:r>
        <w:t>itions in the tissue organization, which may correspond to shared signaling contexts or functional niches.</w:t>
      </w:r>
    </w:p>
    <w:p w:rsidR="00FD3080" w:rsidRDefault="007C3393">
      <w:pPr>
        <w:pStyle w:val="21"/>
      </w:pPr>
      <w:r>
        <w:t>Cross-dataset validation</w:t>
      </w:r>
    </w:p>
    <w:p w:rsidR="00FD3080" w:rsidRDefault="007C3393">
      <w:r>
        <w:t>To assess generalizability, we applied Poincaré MDS to independent datasets with known hierarchical organization.</w:t>
      </w:r>
    </w:p>
    <w:p w:rsidR="00FD3080" w:rsidRDefault="007C3393">
      <w:r>
        <w:rPr>
          <w:b/>
        </w:rPr>
        <w:t xml:space="preserve">Slide-seq </w:t>
      </w:r>
      <w:r>
        <w:rPr>
          <w:b/>
        </w:rPr>
        <w:t>V2 synthetic cerebellum.</w:t>
      </w:r>
      <w:r>
        <w:t xml:space="preserve"> We generated synthetic cerebellar data with four canonical layers (Granule, Purkinje, Molecular, White Matter; 750 spots per layer). Poincaré MDS recovered the layer hierarchy, with the four layers occupying distinct radial positio</w:t>
      </w:r>
      <w:r>
        <w:t>ns on the disk (Figure 4a). The Poincaré radius correlated strongly with anatomical layer position (Spearman ρ = 0.796; Figure 4b), and Poincaré MDS achieved the highest layer separation quality (NMI = 0.626, ARI = 0.661), surpassing Euclidean MDS (NMI = 0</w:t>
      </w:r>
      <w:r>
        <w:t>.578), t-SNE, and PHATE (Figure 4c).</w:t>
      </w:r>
    </w:p>
    <w:p w:rsidR="00FD3080" w:rsidRDefault="007C3393">
      <w:r>
        <w:rPr>
          <w:b/>
        </w:rPr>
        <w:t>Developmental mouse cortex.</w:t>
      </w:r>
      <w:r>
        <w:t xml:space="preserve"> We generated synthetic cortical data with four differentiation stages (Progenitor, Intermediate, Mature_SATB2, Mature_TBR1; 500 spots per stage). Poincaré MDS placed progenitor cells near the</w:t>
      </w:r>
      <w:r>
        <w:t xml:space="preserve"> center and differentiated cells at greater radii (Figure 4d), with a significant correlation between radius and differentiation stage (ρ = 0.196, p = 7.58 × 10⁻¹⁹; Figure 4e). Progenitor cells had the lowest mean radius (0.173), while intermediate cells o</w:t>
      </w:r>
      <w:r>
        <w:t>ccupied the most peripheral positions (0.565), followed by Mature_SATB2 (0.516) and Mature_TBR1 (0.313). The non-monotonic ordering of the mature stages suggests that the embedding captures differentiation trajectory rather than a simple linear progression</w:t>
      </w:r>
      <w:r>
        <w:t>, consistent with the interpretation that the Poincaré center represents the undifferentiated state.</w:t>
      </w:r>
    </w:p>
    <w:p w:rsidR="00FD3080" w:rsidRDefault="007C3393">
      <w:r>
        <w:rPr>
          <w:b/>
        </w:rPr>
        <w:t>Slide-seq V2 real hippocampus.</w:t>
      </w:r>
      <w:r>
        <w:t xml:space="preserve"> On real Slide-seq V2 mouse hippocampus data (41,786 beads, 14 annotated clusters), Poincaré MDS showed significant radius–cl</w:t>
      </w:r>
      <w:r>
        <w:t>uster correlation (Spearman ρ = 0.239, p &lt; 10⁻⁶⁵ on a 5,000-bead subsample), confirming that the hierarchical encoding generalizes to real spatial transcriptomics data across platforms and tissue types (Figure 4f).</w:t>
      </w:r>
    </w:p>
    <w:p w:rsidR="00FD3080" w:rsidRDefault="007C3393">
      <w:pPr>
        <w:pStyle w:val="21"/>
      </w:pPr>
      <w:r>
        <w:t>Comprehensive benchmark</w:t>
      </w:r>
    </w:p>
    <w:p w:rsidR="00FD3080" w:rsidRDefault="007C3393">
      <w:r>
        <w:t>We compared Poinc</w:t>
      </w:r>
      <w:r>
        <w:t xml:space="preserve">aré MDS against PHATE, Euclidean MDS, and t-SNE across five metrics on the gastric cancer dataset (Supplementary Table 1). UMAP was excluded from the benchmark because it does not preserve global pairwise distances </w:t>
      </w:r>
      <w:r w:rsidR="006F6650">
        <w:fldChar w:fldCharType="begin"/>
      </w:r>
      <w:r w:rsidR="006F6650">
        <w:instrText xml:space="preserve"> ADDIN ZOTERO_ITEM CSL_CITATION {"citationID":"vYSzkyjS","properties":{"formattedCitation":"\\super 9\\nosupersub{}","plainCitation":"9","noteIndex":0},"citationItems":[{"id":5190,"uris":["http://zotero.org/users/local/FhkaGxCY/items/V7YK5BYP"],"itemData":{"id":5190,"type":"article-journal","container-title":"Journal of Open Source Software","DOI":"10.21105/joss.00861","ISSN":"2475-9066","issue":"29","journalAbbreviation":"JOSS","license":"http://creativecommons.org/licenses/by/4.0/","page":"861","source":"DOI.org (Crossref)","title":"UMAP: Uniform Manifold Approximation and Projection","title-short":"UMAP","volume":"3","author":[{"family":"McInnes","given":"Leland"},{"family":"Healy","given":"John"},{"family":"Saul","given":"Nathaniel"},{"family":"Großberger","given":"Lukas"}],"issued":{"date-parts":[["2018",9,2]]}}}],"schema":"https://github.com/citation-style-language/schema/raw/master/csl-citation.json"} </w:instrText>
      </w:r>
      <w:r w:rsidR="006F6650">
        <w:fldChar w:fldCharType="separate"/>
      </w:r>
      <w:r w:rsidR="006F6650" w:rsidRPr="006F6650">
        <w:rPr>
          <w:rFonts w:cs="Times New Roman"/>
          <w:szCs w:val="24"/>
          <w:vertAlign w:val="superscript"/>
        </w:rPr>
        <w:t>9</w:t>
      </w:r>
      <w:r w:rsidR="006F6650">
        <w:fldChar w:fldCharType="end"/>
      </w:r>
      <w:r>
        <w:t>, making distance-based metrics (Spear</w:t>
      </w:r>
      <w:r>
        <w:t>man ρ, k-NN retention) inapplicable. The results reveal a fundamental trade-off rather than universal superiority.</w:t>
      </w:r>
    </w:p>
    <w:p w:rsidR="00FD3080" w:rsidRDefault="007C3393">
      <w:r>
        <w:rPr>
          <w:b/>
        </w:rPr>
        <w:t>Hierarchical recovery.</w:t>
      </w:r>
      <w:r>
        <w:t xml:space="preserve"> Poincaré MDS achieved the highest NMI (0.349; Figure 5d) and ARI (0.225; Figure 5e), surpassing all competing methods.</w:t>
      </w:r>
      <w:r>
        <w:t xml:space="preserve"> While these absolute values are modest — reflecting the inherent difficulty of recovering zone labels from gene expression alone — the </w:t>
      </w:r>
      <w:r>
        <w:lastRenderedPageBreak/>
        <w:t>consistent advantage indicates that the hyperbolic radial coordinate captures tissue hierarchy more effectively than Euc</w:t>
      </w:r>
      <w:r>
        <w:t>lidean or divergence-based projections.</w:t>
      </w:r>
    </w:p>
    <w:p w:rsidR="00FD3080" w:rsidRDefault="007C3393">
      <w:r>
        <w:rPr>
          <w:b/>
        </w:rPr>
        <w:t>Distance preservation.</w:t>
      </w:r>
      <w:r>
        <w:t xml:space="preserve"> Euclidean MDS achieved the highest Spearman ρ (0.901 vs. 0.883 for Poincaré MDS; Figure 5a), confirming its advantage for pairwise distance fidelity. Poincaré MDS ranked second, ahead of PHATE </w:t>
      </w:r>
      <w:r>
        <w:t>(0.801) and t-SNE (0.759).</w:t>
      </w:r>
    </w:p>
    <w:p w:rsidR="00FD3080" w:rsidRDefault="007C3393">
      <w:r>
        <w:rPr>
          <w:b/>
        </w:rPr>
        <w:t>Local neighborhood preservation.</w:t>
      </w:r>
      <w:r>
        <w:t xml:space="preserve"> t-SNE achieved the highest trustworthiness (0.980; Figure 5b) and k-NN retention (0.387; Figure 5c), but at the cost of severe global distance distortion. Poincaré MDS had the lowest k-NN retentio</w:t>
      </w:r>
      <w:r>
        <w:t>n (0.155), reflecting the compression of local neighborhoods near the disk boundary — an inherent property of hyperbolic geometry. Note that radius-depth correlation is only meaningful for Poincaré MDS, as Euclidean and divergence-based methods do not prod</w:t>
      </w:r>
      <w:r>
        <w:t>uce a radial coordinate with hierarchical semantics.</w:t>
      </w:r>
    </w:p>
    <w:p w:rsidR="00FD3080" w:rsidRDefault="007C3393">
      <w:r>
        <w:rPr>
          <w:b/>
        </w:rPr>
        <w:t>Overall trade-off.</w:t>
      </w:r>
      <w:r>
        <w:t xml:space="preserve"> The radar chart (Figure 5f) summarizes the five-dimensional performance landscape. Poincaré MDS dominates in hierarchical recovery (NMI, ARI) while Euclidean MDS dominates in distance </w:t>
      </w:r>
      <w:r>
        <w:t>and neighborhood preservation (ρ, k-NN retention, trustworthiness). This trade-off is fundamental: the same exponential volume expansion that makes hyperbolic space ideal for embedding hierarchies also compresses local neighborhoods near the boundary.</w:t>
      </w:r>
    </w:p>
    <w:p w:rsidR="00FD3080" w:rsidRDefault="007C3393">
      <w:r>
        <w:rPr>
          <w:b/>
        </w:rPr>
        <w:t>Hype</w:t>
      </w:r>
      <w:r>
        <w:rPr>
          <w:b/>
        </w:rPr>
        <w:t>rparameter sensitivity.</w:t>
      </w:r>
      <w:r>
        <w:t xml:space="preserve"> Radius-depth correlation varies modestly with k, ranging from ρ = 0.149 (k = 10) to ρ = 0.519 (k = 50), with k = 30 achieving ρ = 0.392 (Supplementary Figure 3). The repulsion weight λ shows stability across the range [0.1, 2.0] (Su</w:t>
      </w:r>
      <w:r>
        <w:t>pplementary Figure 4). Convergence analysis confirms that 2,000 epochs are sufficient (Supplementary Figure 5).</w:t>
      </w:r>
    </w:p>
    <w:p w:rsidR="00FD3080" w:rsidRDefault="007C3393">
      <w:r>
        <w:rPr>
          <w:b/>
        </w:rPr>
        <w:t>Scalability.</w:t>
      </w:r>
      <w:r>
        <w:t xml:space="preserve"> Poincaré MDS processed 1,000 samples in 9.7 seconds and 10,000 samples in 211.1 seconds (Supplementary Figure 1a), with peak memory</w:t>
      </w:r>
      <w:r>
        <w:t xml:space="preserve"> of 3,818 MB at 10K samples (Supplementary Figure 1b; Supplementary Table 3). On combined Visium data (20,000 spots), Poincaré MDS completed in 1,350 seconds, confirming scalability to full-dataset sizes. The O(n²) memory requirement for pairwise distances</w:t>
      </w:r>
      <w:r>
        <w:t xml:space="preserve"> limits scalability beyond ~10K spots without subsampling.</w:t>
      </w:r>
    </w:p>
    <w:p w:rsidR="00FD3080" w:rsidRDefault="007C3393">
      <w:pPr>
        <w:pStyle w:val="1"/>
      </w:pPr>
      <w:r>
        <w:t>Discussion</w:t>
      </w:r>
    </w:p>
    <w:p w:rsidR="00FD3080" w:rsidRDefault="007C3393">
      <w:r>
        <w:t xml:space="preserve">Poincaré MDS and Hyperbolic Niche provide a geometric framework for spatial transcriptomics that respects tissue hierarchy. The key advantage over Euclidean methods is the radial </w:t>
      </w:r>
      <w:r>
        <w:t xml:space="preserve">coordinate, which encodes hierarchical depth — a property consistent with theoretical guarantees of O(ln D) distortion for tree embeddings in hyperbolic space </w:t>
      </w:r>
      <w:r w:rsidR="001425C1">
        <w:fldChar w:fldCharType="begin"/>
      </w:r>
      <w:r w:rsidR="001425C1">
        <w:instrText xml:space="preserve"> ADDIN ZOTERO_ITEM CSL_CITATION {"citationID":"EU0kQcos","properties":{"formattedCitation":"\\super 15,16\\nosupersub{}","plainCitation":"15,16","noteIndex":0},"citationItems":[{"id":5199,"uris":["http://zotero.org/users/local/FhkaGxCY/items/HKMNK4XL"],"itemData":{"id":5199,"type":"chapter","container-title":"Graph Drawing","DOI":"10.1007/978-3-642-25878-7_34","ISBN":"978-3-642-25877-0","note":"collection-title: Lecture Notes in Computer Science","page":"355-366","publisher":"Springer Berlin Heidelberg","publisher-place":"Berlin, Heidelberg","source":"DOI.org (Crossref)","title":"Low Distortion Delaunay Embedding of Trees in Hyperbolic Plane","URL":"http://link.springer.com/10.1007/978-3-642-25878-7_34","volume":"7034","editor":[{"family":"Van Kreveld","given":"Marc"},{"family":"Speckmann","given":"Bettina"}],"author":[{"family":"Sarkar","given":"Rik"}],"accessed":{"date-parts":[["2026",5,11]]},"issued":{"date-parts":[["2012"]]}}},{"id":5201,"uris":["http://zotero.org/users/local/FhkaGxCY/items/JQ832ZLQ"],"itemData":{"id":5201,"type":"article-journal","container-title":"Israel Journal of Mathematics","DOI":"10.1007/BF02761110","ISSN":"0021-2172, 1565-8511","issue":"1","journalAbbreviation":"Israel J. Math.","language":"en","license":"http://www.springer.com/tdm","page":"333-344","source":"DOI.org (Crossref)","title":"On the distortion required for embedding finite metric spaces into normed spaces","volume":"93","author":[{"family":"Matoušek","given":"Jiří"}],"issued":{"date-parts":[["1996",12]]}}}],"schema":"https://github.com/citation-style-language/schema/raw/master/csl-citation.json"} </w:instrText>
      </w:r>
      <w:r w:rsidR="001425C1">
        <w:fldChar w:fldCharType="separate"/>
      </w:r>
      <w:r w:rsidR="001425C1" w:rsidRPr="001425C1">
        <w:rPr>
          <w:rFonts w:cs="Times New Roman"/>
          <w:szCs w:val="24"/>
          <w:vertAlign w:val="superscript"/>
        </w:rPr>
        <w:t>15,16</w:t>
      </w:r>
      <w:r w:rsidR="001425C1">
        <w:fldChar w:fldCharType="end"/>
      </w:r>
      <w:r w:rsidR="001425C1">
        <w:t xml:space="preserve"> </w:t>
      </w:r>
      <w:r>
        <w:t>and empirically validated across multiple datasets (R² = 0.997 for logarithmic stress sca</w:t>
      </w:r>
      <w:r>
        <w:t>ling). This hierarchical encoding is not merely a visualization convenience; it reflects the fundamental geometry of hyperbolic space, where exponential expansion of volume toward the boundary naturally accommodates tree-like structures.</w:t>
      </w:r>
    </w:p>
    <w:p w:rsidR="00FD3080" w:rsidRDefault="007C3393">
      <w:r>
        <w:t>A natural question</w:t>
      </w:r>
      <w:r>
        <w:t xml:space="preserve"> is whether the logarithmic scaling advantage matters for biological data, where hierarchical depths are typically shallow (depth 4–6). Our results show that it does, for two reasons. First, the crossover at depth 4 means that even moderately hierarchical </w:t>
      </w:r>
      <w:r>
        <w:t xml:space="preserve">tissue structures (tumor core → invasive front → stroma → immune infiltrate) already fall within the regime where Poincaré MDS outperforms Euclidean MDS in embedding stress. Second, and more </w:t>
      </w:r>
      <w:r>
        <w:lastRenderedPageBreak/>
        <w:t>importantly, the advantage is not limited to stress: Poincaré MDS</w:t>
      </w:r>
      <w:r>
        <w:t xml:space="preserve"> achieves the highest hierarchical clustering quality (NMI = 0.349, ARI = 0.225), demonstrating that the radial coordinate is a better proxy for tissue hierarchy than any Euclidean projection, regardless of tree depth. The adaptive curvature mechanism furt</w:t>
      </w:r>
      <w:r>
        <w:t>her extends this advantage to varying hierarchy depths: lower curvature (c = 0.1) amplifies the hyperbolic volume expansion for deeply branched data, while higher curvature (c = 2.0) approximates Euclidean geometry for flat structures.</w:t>
      </w:r>
    </w:p>
    <w:p w:rsidR="00FD3080" w:rsidRDefault="007C3393">
      <w:r>
        <w:t>The Hyperbolic Niche</w:t>
      </w:r>
      <w:r>
        <w:t xml:space="preserve"> analysis reveals that neighborhoods defined by geodesic distance in Poincaré space preferentially co-localize functionally interacting cell type pairs — such as CAF–macrophage and endothelial–macrophage signaling axes — compared to physical spatial neighb</w:t>
      </w:r>
      <w:r>
        <w:t>orhoods. Crucially, the inter-cellular ligand–receptor interaction potential within these hyperbolic neighborhoods is also significantly higher for CAF–macrophage (1.07×, q = 0.024) and endothelial–macrophage pairs (1.04×, q = 0.017), confirming that the e</w:t>
      </w:r>
      <w:r>
        <w:t xml:space="preserve">nrichment is not merely a cell count effect but reflects genuine signaling activity. By contrast, epithelial–macrophage interactions — which depend on direct cell–cell contact rather than diffusible signals — show slightly higher co-expression in physical </w:t>
      </w:r>
      <w:r>
        <w:t>neighborhoods (q = 0.003), consistent with the distinction between contact-dependent and diffusible signaling in the tumor microenvironment. This pattern suggests that the Poincaré radius encodes functional hierarchy: cells at similar radial positions shar</w:t>
      </w:r>
      <w:r>
        <w:t>e signaling contexts even when physically distant.</w:t>
      </w:r>
    </w:p>
    <w:p w:rsidR="00FD3080" w:rsidRDefault="007C3393">
      <w:r>
        <w:t xml:space="preserve">The benchmark results reveal a nuanced picture. Poincaré MDS uniquely excels at hierarchy recovery (NMI = 0.349, ARI = 0.225), but this comes at the cost of local neighborhood preservation (k-NN retention </w:t>
      </w:r>
      <w:r>
        <w:t>= 0.155 vs. t-SNE 0.387). The absolute NMI/ARI values are modest, reflecting the difficulty of recovering zone labels from gene expression alone; however, the consistent advantage over competing methods confirms that the hyperbolic radial coordinate is a b</w:t>
      </w:r>
      <w:r>
        <w:t xml:space="preserve">etter proxy for tissue hierarchy than Euclidean projections. This trade-off is inherent to hyperbolic geometry </w:t>
      </w:r>
      <w:r w:rsidR="00B35E17">
        <w:fldChar w:fldCharType="begin"/>
      </w:r>
      <w:r w:rsidR="00B35E17">
        <w:instrText xml:space="preserve"> ADDIN ZOTERO_ITEM CSL_CITATION {"citationID":"xEVzE189","properties":{"formattedCitation":"\\super 25\\nosupersub{}","plainCitation":"25","noteIndex":0},"citationItems":[{"id":5216,"uris":["http://zotero.org/users/local/FhkaGxCY/items/BMZXCKZH"],"itemData":{"id":5216,"type":"article-journal","abstract":"Hyperbolic embeddings offer excellent quality with few dimensions when embedding hierarchical data structures like synonym or type hierarchies. Given a tree, we give a combinatorial construction that embeds the tree in hyperbolic space with arbitrarily low distortion without using optimization. On WordNet, our combinatorial embedding obtains a mean-average-precision of 0.989 with only two dimensions, while Nickel et al.'s recent construction obtains 0.87 using 200 dimensions. We provide upper and lower bounds that allow us to characterize the precision-dimensionality tradeoff inherent in any hyperbolic embedding. To embed general metric spaces, we propose a hyperbolic generalization of multidimensional scaling (h-MDS). We show how to perform exact recovery of hyperbolic points from distances, provide a perturbation analysis, and give a recovery result that allows us to reduce dimensionality. The h-MDS approach offers consistently low distortion even with few dimensions across several datasets. Finally, we extract lessons from the algorithms and theory above to design a PyTorch-based implementation that can handle incomplete information and is scalable.","container-title":"Proceedings of Machine Learning Research","ISSN":"2640-3498","journalAbbreviation":"Proc Mach Learn Res","language":"eng","page":"4460-4469","PMID":"31131375","PMCID":"PMC6534139","source":"PubMed","title":"Representation Tradeoffs for Hyperbolic Embeddings","volume":"80","author":[{"family":"De Sa","given":"Christopher"},{"family":"Gu","given":"Albert"},{"family":"Ré","given":"Christopher"},{"family":"Sala","given":"Frederic"}],"issued":{"date-parts":[["2018"]]}}}],"schema":"https://github.com/citation-style-language/schema/raw/master/csl-citation.json"} </w:instrText>
      </w:r>
      <w:r w:rsidR="00B35E17">
        <w:fldChar w:fldCharType="separate"/>
      </w:r>
      <w:r w:rsidR="00B35E17" w:rsidRPr="00B35E17">
        <w:rPr>
          <w:rFonts w:cs="Times New Roman"/>
          <w:szCs w:val="24"/>
          <w:vertAlign w:val="superscript"/>
        </w:rPr>
        <w:t>25</w:t>
      </w:r>
      <w:r w:rsidR="00B35E17">
        <w:fldChar w:fldCharType="end"/>
      </w:r>
      <w:r>
        <w:t>: the same exponential volume expansion that makes hyperbolic space ideal for embedding hierarchies also compresses local neighborhoods ne</w:t>
      </w:r>
      <w:r>
        <w:t>ar the disk boundary. Rather than viewing this as a limitation, we argue that different methods serve different analytical goals — Poincaré MDS for hierarchical structure discovery, Euclidean methods for distance-preserving applications.</w:t>
      </w:r>
    </w:p>
    <w:p w:rsidR="00FD3080" w:rsidRDefault="007C3393">
      <w:r>
        <w:t>The adaptive curva</w:t>
      </w:r>
      <w:r>
        <w:t>ture learning mechanism addresses a key limitation of fixed-curvature hyperbolic embeddings. Our grid search automatically selects lower curvature (c = 0.1) for deeply hierarchical data and higher curvature (c = 2.0) for flat, non-hierarchical data. This d</w:t>
      </w:r>
      <w:r>
        <w:t>ata-driven approach removes the need for manual curvature tuning and provides a diagnostic: the learned curvature itself indicates the degree of hierarchical structure in the data.</w:t>
      </w:r>
    </w:p>
    <w:p w:rsidR="00FD3080" w:rsidRDefault="007C3393">
      <w:r>
        <w:t>The Hierarchical Differential Score (HDS) introduces a principled metric fo</w:t>
      </w:r>
      <w:r>
        <w:t xml:space="preserve">r quantifying radial separation between cell types in the Poincaré disk. Unlike traditional co-localization metrics, HDS captures the hierarchical ordering of cell types — which cell type is more 'central' vs. 'peripheral' — providing a single number that </w:t>
      </w:r>
      <w:r>
        <w:t>summarizes the spatial relationship between any two cell types. The biological consistency of HDS rankings (epithelial and fibroblast cells central, immune cells peripheral) validates the metric's ability to capture known tumor biology.</w:t>
      </w:r>
    </w:p>
    <w:p w:rsidR="00FD3080" w:rsidRDefault="007C3393">
      <w:r>
        <w:t>Cross-dataset valid</w:t>
      </w:r>
      <w:r>
        <w:t xml:space="preserve">ation on real Slide-seq V2 hippocampus (41,786 beads), synthetic cerebellum, and developmental cortex demonstrates that the hierarchical encoding generalizes beyond the </w:t>
      </w:r>
      <w:r>
        <w:lastRenderedPageBreak/>
        <w:t>primary gastric cancer dataset. The significant radius–cluster correlation in real hipp</w:t>
      </w:r>
      <w:r>
        <w:t>ocampal data (ρ = 0.239, p &lt; 10⁻⁶⁵), strong radius–layer correlation in cerebellum (ρ = 0.796), and significant radius–differentiation correlation in cortex (ρ = 0.196, p = 7.58 × 10⁻¹⁹) confirm that Poincaré radius captures anatomical hierarchy across ind</w:t>
      </w:r>
      <w:r>
        <w:t>ependent datasets, platforms, and tissue types.</w:t>
      </w:r>
    </w:p>
    <w:p w:rsidR="00FD3080" w:rsidRDefault="007C3393">
      <w:r>
        <w:t>Several limitations should be noted, along with potential solutions.</w:t>
      </w:r>
    </w:p>
    <w:p w:rsidR="00FD3080" w:rsidRDefault="007C3393">
      <w:r>
        <w:rPr>
          <w:b/>
        </w:rPr>
        <w:t>1. O(n²) memory requirement.</w:t>
      </w:r>
      <w:r>
        <w:t xml:space="preserve"> Pairwise distance computation requires O(n²) memory, limiting scalability to ~10K spots without subsampling or</w:t>
      </w:r>
      <w:r>
        <w:t xml:space="preserve"> stochastic approximation. </w:t>
      </w:r>
      <w:r>
        <w:rPr>
          <w:i/>
        </w:rPr>
        <w:t>Solution:</w:t>
      </w:r>
      <w:r>
        <w:t xml:space="preserve"> Mini-batch stochastic approximation (already partially implemented via batch_size=100,000) could be extended to full stochastic gradient descent, reducing memory to O(n). Alternatively, landmark MDS approaches could app</w:t>
      </w:r>
      <w:r>
        <w:t>roximate the embedding using a subset of anchor points.</w:t>
      </w:r>
    </w:p>
    <w:p w:rsidR="00FD3080" w:rsidRDefault="007C3393">
      <w:r>
        <w:rPr>
          <w:b/>
        </w:rPr>
        <w:t>2. Single global curvature.</w:t>
      </w:r>
      <w:r>
        <w:t xml:space="preserve"> The current implementation uses a single curvature value for the entire Poincaré ball. Real tissues may exhibit varying hierarchical depths across regions (e.g., tumor core</w:t>
      </w:r>
      <w:r>
        <w:t xml:space="preserve"> vs. immune infiltrate). </w:t>
      </w:r>
      <w:r>
        <w:rPr>
          <w:i/>
        </w:rPr>
        <w:t>Solution:</w:t>
      </w:r>
      <w:r>
        <w:t xml:space="preserve"> Multi-scale curvature models that learn spatially varying curvature across the tissue section, or hierarchical Poincaré ball models with nested curvature parameters.</w:t>
      </w:r>
    </w:p>
    <w:p w:rsidR="00FD3080" w:rsidRDefault="007C3393">
      <w:r>
        <w:rPr>
          <w:b/>
        </w:rPr>
        <w:t>3. k-NN hyperparameter sensitivity.</w:t>
      </w:r>
      <w:r>
        <w:t xml:space="preserve"> The k-NN graph cons</w:t>
      </w:r>
      <w:r>
        <w:t xml:space="preserve">truction step introduces a hyperparameter (k = 30). Sensitivity analysis (Supplementary Figure 3) shows that radius-depth correlation varies from ρ = 0.149 (k = 10) to ρ = 0.519 (k = 50), with the default k = 30 achieving ρ = 0.392. The optimal k may vary </w:t>
      </w:r>
      <w:r>
        <w:t xml:space="preserve">with spatial resolution and tissue type. </w:t>
      </w:r>
      <w:r>
        <w:rPr>
          <w:i/>
        </w:rPr>
        <w:t>Solution:</w:t>
      </w:r>
      <w:r>
        <w:t xml:space="preserve"> Adaptive k selection based on local density estimation, or multi-scale analysis that aggregates results across multiple k values.</w:t>
      </w:r>
    </w:p>
    <w:p w:rsidR="00FD3080" w:rsidRDefault="007C3393">
      <w:r>
        <w:rPr>
          <w:b/>
        </w:rPr>
        <w:t>4. No early stopping mechanism.</w:t>
      </w:r>
      <w:r>
        <w:t xml:space="preserve"> Optimization runs for a fixed 2,000 epochs </w:t>
      </w:r>
      <w:r>
        <w:t xml:space="preserve">without early stopping. While convergence analysis (Supplementary Figure 5) confirms that this is sufficient, a more principled approach would monitor validation stress on held-out pairs. </w:t>
      </w:r>
      <w:r>
        <w:rPr>
          <w:i/>
        </w:rPr>
        <w:t>Solution:</w:t>
      </w:r>
      <w:r>
        <w:t xml:space="preserve"> Implement convergence detection based on loss plateau (e.g</w:t>
      </w:r>
      <w:r>
        <w:t>., &lt;0.1% change over 200 epochs).</w:t>
      </w:r>
    </w:p>
    <w:p w:rsidR="00FD3080" w:rsidRDefault="007C3393">
      <w:r>
        <w:rPr>
          <w:b/>
        </w:rPr>
        <w:t>5. Synthetic validation datasets.</w:t>
      </w:r>
      <w:r>
        <w:t xml:space="preserve"> Cross-dataset validation relies partly on synthetic data with known hierarchical structure. While this enables controlled evaluation, real biological hierarchies are noisier and more compl</w:t>
      </w:r>
      <w:r>
        <w:t xml:space="preserve">ex. </w:t>
      </w:r>
      <w:r>
        <w:rPr>
          <w:i/>
        </w:rPr>
        <w:t>Solution:</w:t>
      </w:r>
      <w:r>
        <w:t xml:space="preserve"> Validation on additional real datasets with annotated hierarchical labels (e.g., brain atlases with known cortical layer structure).</w:t>
      </w:r>
    </w:p>
    <w:p w:rsidR="00FD3080" w:rsidRDefault="007C3393">
      <w:r>
        <w:t xml:space="preserve">Our approach differs from the original Poincaré embedding work of Nickel &amp; Kiela </w:t>
      </w:r>
      <w:r w:rsidR="00B35E17">
        <w:fldChar w:fldCharType="begin"/>
      </w:r>
      <w:r w:rsidR="00B35E17">
        <w:instrText xml:space="preserve"> ADDIN ZOTERO_ITEM CSL_CITATION {"citationID":"000OKG6X","properties":{"formattedCitation":"\\super 25\\nosupersub{}","plainCitation":"25","noteIndex":0},"citationItems":[{"id":5216,"uris":["http://zotero.org/users/local/FhkaGxCY/items/BMZXCKZH"],"itemData":{"id":5216,"type":"article-journal","abstract":"Hyperbolic embeddings offer excellent quality with few dimensions when embedding hierarchical data structures like synonym or type hierarchies. Given a tree, we give a combinatorial construction that embeds the tree in hyperbolic space with arbitrarily low distortion without using optimization. On WordNet, our combinatorial embedding obtains a mean-average-precision of 0.989 with only two dimensions, while Nickel et al.'s recent construction obtains 0.87 using 200 dimensions. We provide upper and lower bounds that allow us to characterize the precision-dimensionality tradeoff inherent in any hyperbolic embedding. To embed general metric spaces, we propose a hyperbolic generalization of multidimensional scaling (h-MDS). We show how to perform exact recovery of hyperbolic points from distances, provide a perturbation analysis, and give a recovery result that allows us to reduce dimensionality. The h-MDS approach offers consistently low distortion even with few dimensions across several datasets. Finally, we extract lessons from the algorithms and theory above to design a PyTorch-based implementation that can handle incomplete information and is scalable.","container-title":"Proceedings of Machine Learning Research","ISSN":"2640-3498","journalAbbreviation":"Proc Mach Learn Res","language":"eng","page":"4460-4469","PMID":"31131375","PMCID":"PMC6534139","source":"PubMed","title":"Representation Tradeoffs for Hyperbolic Embeddings","volume":"80","author":[{"family":"De Sa","given":"Christopher"},{"family":"Gu","given":"Albert"},{"family":"Ré","given":"Christopher"},{"family":"Sala","given":"Frederic"}],"issued":{"date-parts":[["2018"]]}}}],"schema":"https://github.com/citation-style-language/schema/raw/master/csl-citation.json"} </w:instrText>
      </w:r>
      <w:r w:rsidR="00B35E17">
        <w:fldChar w:fldCharType="separate"/>
      </w:r>
      <w:r w:rsidR="00B35E17" w:rsidRPr="00B35E17">
        <w:rPr>
          <w:rFonts w:cs="Times New Roman"/>
          <w:szCs w:val="24"/>
          <w:vertAlign w:val="superscript"/>
        </w:rPr>
        <w:t>25</w:t>
      </w:r>
      <w:r w:rsidR="00B35E17">
        <w:fldChar w:fldCharType="end"/>
      </w:r>
      <w:r>
        <w:t xml:space="preserve"> in several important </w:t>
      </w:r>
      <w:r>
        <w:t>ways. First, Nickel &amp; Kiela optimize a contrastive loss that preserves pairwise distances between a point and its ancestors in a taxonomy, whereas Poincaré MDS optimizes a stress function that preserves all pairwise shortest-path distances on a k-NN graph.</w:t>
      </w:r>
      <w:r>
        <w:t xml:space="preserve"> Second, Nickel &amp; Kiela's embeddings are designed for discrete tree structures (WordNet, taxonomies), whereas Poincaré MDS is designed for continuous spatial transcriptomics data where the hierarchical structure is latent. Third, Poincaré MDS includes a re</w:t>
      </w:r>
      <w:r>
        <w:t>pulsion term to prevent origin collapse and an adaptive curvature mechanism, both of which are absent from the original formulation. These differences reflect the fundamentally different nature of spatial transcriptomics data: unlike clean taxonomic trees,</w:t>
      </w:r>
      <w:r>
        <w:t xml:space="preserve"> biological tissues exhibit noisy, overlapping hierarchical structures that require flexible optimization.</w:t>
      </w:r>
    </w:p>
    <w:p w:rsidR="00FD3080" w:rsidRDefault="007C3393">
      <w:r>
        <w:lastRenderedPageBreak/>
        <w:t>Future work could explore: (1) hybrid approaches that combine Poincaré MDS's hierarchical encoding with Euclidean methods' local preservation; (2) 3D</w:t>
      </w:r>
      <w:r>
        <w:t xml:space="preserve"> Poincaré ball embeddings for volumetric spatial data; (3) integration with trajectory inference tools for developmental and disease progression analyses; (4) multi-scale curvature models that learn spatially varying curvature across the tissue section; (5</w:t>
      </w:r>
      <w:r>
        <w:t>) application to single-cell resolution data (MERFISH, CosMx) where hierarchical structure may be more pronounced.</w:t>
      </w:r>
    </w:p>
    <w:p w:rsidR="00FD3080" w:rsidRDefault="007C3393">
      <w:pPr>
        <w:pStyle w:val="1"/>
      </w:pPr>
      <w:r>
        <w:t>Methods</w:t>
      </w:r>
    </w:p>
    <w:p w:rsidR="00FD3080" w:rsidRDefault="007C3393">
      <w:pPr>
        <w:pStyle w:val="21"/>
      </w:pPr>
      <w:r>
        <w:t>Preprocessing</w:t>
      </w:r>
    </w:p>
    <w:p w:rsidR="00FD3080" w:rsidRDefault="007C3393">
      <w:r>
        <w:t xml:space="preserve">Raw gene expression matrices were normalized using Scanpy's </w:t>
      </w:r>
      <w:r w:rsidR="00B35E17">
        <w:fldChar w:fldCharType="begin"/>
      </w:r>
      <w:r w:rsidR="00B35E17">
        <w:instrText xml:space="preserve"> ADDIN ZOTERO_ITEM CSL_CITATION {"citationID":"nnNQQptr","properties":{"formattedCitation":"\\super 26\\nosupersub{}","plainCitation":"26","noteIndex":0},"citationItems":[{"id":5218,"uris":["http://zotero.org/users/local/FhkaGxCY/items/KHALXQKA"],"itemData":{"id":5218,"type":"article-journal","container-title":"Genome Biology","DOI":"10.1186/s13059-017-1382-0","ISSN":"1474-760X","issue":"1","journalAbbreviation":"Genome Biol","language":"en","page":"15","source":"DOI.org (Crossref)","title":"SCANPY: large-scale single-cell gene expression data analysis","title-short":"SCANPY","volume":"19","author":[{"family":"Wolf","given":"F. Alexander"},{"family":"Angerer","given":"Philipp"},{"family":"Theis","given":"Fabian J."}],"issued":{"date-parts":[["2018",12]]}}}],"schema":"https://github.com/citation-style-language/schema/raw/master/csl-citation.json"} </w:instrText>
      </w:r>
      <w:r w:rsidR="00B35E17">
        <w:fldChar w:fldCharType="separate"/>
      </w:r>
      <w:r w:rsidR="00B35E17" w:rsidRPr="00B35E17">
        <w:rPr>
          <w:rFonts w:cs="Times New Roman"/>
          <w:szCs w:val="24"/>
          <w:vertAlign w:val="superscript"/>
        </w:rPr>
        <w:t>26</w:t>
      </w:r>
      <w:r w:rsidR="00B35E17">
        <w:fldChar w:fldCharType="end"/>
      </w:r>
      <w:r>
        <w:t xml:space="preserve"> `normalize_total` (target sum = 10,000) followed by `l</w:t>
      </w:r>
      <w:r>
        <w:t>og1p` transformation. Highly variable genes (HVGs) were selected using `sc.pp.highly_variable_genes` with `n_top_genes=2,000` and the `seurat` flavor. PCA was performed on the HVG-selected matrix, retaining the top 10 principal components (PCs) for downstr</w:t>
      </w:r>
      <w:r>
        <w:t>eam embedding. The choice of 10 PCs balances computational efficiency with sufficient variance capture (&gt;80% cumulative variance in all datasets tested).</w:t>
      </w:r>
    </w:p>
    <w:p w:rsidR="00FD3080" w:rsidRDefault="007C3393">
      <w:pPr>
        <w:pStyle w:val="21"/>
      </w:pPr>
      <w:r>
        <w:t>Poincaré MDS algorithm</w:t>
      </w:r>
    </w:p>
    <w:p w:rsidR="00FD3080" w:rsidRDefault="007C3393">
      <w:r>
        <w:t>Given a gene expression matrix X ∈ R^(n×d), we first perform PCA to obtain a 10</w:t>
      </w:r>
      <w:r>
        <w:t xml:space="preserve">-dimensional representation. We then construct a k-nearest-neighbor graph (k = 30) in PCA space using scikit-learn's `NearestNeighbors`. Shortest-path distances are computed via Dijkstra's algorithm (implemented in `scipy.sparse.csgraph.shortest_path`) on </w:t>
      </w:r>
      <w:r>
        <w:t>the symmetrized k-NN graph. Disconnected components, if any, are handled by assigning the maximum finite distance multiplied by 2 to pairs across components. These graph distances are normalized to [0, 0.95] to ensure all target distances lie within the Po</w:t>
      </w:r>
      <w:r>
        <w:t>incaré ball's feasible range.</w:t>
      </w:r>
    </w:p>
    <w:p w:rsidR="00FD3080" w:rsidRDefault="007C3393">
      <w:r>
        <w:t xml:space="preserve">The embedding is initialized via Torgerson scaling </w:t>
      </w:r>
      <w:r w:rsidR="00B35E17">
        <w:fldChar w:fldCharType="begin"/>
      </w:r>
      <w:r w:rsidR="00B35E17">
        <w:instrText xml:space="preserve"> ADDIN ZOTERO_ITEM CSL_CITATION {"citationID":"f5TF6aOo","properties":{"formattedCitation":"\\super 27\\nosupersub{}","plainCitation":"27","noteIndex":0},"citationItems":[{"id":5220,"uris":["http://zotero.org/users/local/FhkaGxCY/items/GW8MYPXP"],"itemData":{"id":5220,"type":"article-journal","abstract":"Multidimensional scaling can be considered as involving three basic steps. In the first step, a scale of comparative distances between all pairs of stimuli is obtained. This scale is analogous to the scale of stimuli obtained in the traditional paired comparisons methods. In this scale, however, instead of locating each stimulus-object on a given continuum, the distances between each pair of stimuli are located on a distance continuum. As in paired comparisons, the procedures for obtaining a scale of comparative distances leave the true zero point undetermined. Hence, a comparative distance is not a distance in the usual sense of the term, but is a distance minus an unknown constant. The second step involves estimating this unknown constant. When the unknown constant is obtained, the comparative distances can be converted into absolute distances. In the third step, the dimensionality of the psychological space necessary to account for these absolute distances is determined, and the projections of stimuli on axes of this space are obtained. A set of analytical procedures was developed for each of the three steps given above, including a least-squares solution for obtaining comparative distances by the complete method of triads, two practical methods for estimating the additive constant, and an extension of Young and Householder's Euclidean model to include procedures for obtaining the projections of stimuli on axes from fallible absolute distances.","container-title":"Psychometrika","DOI":"10.1007/BF02288916","ISSN":"0033-3123, 1860-0980","issue":"4","journalAbbreviation":"Psychometrika","language":"en","license":"https://www.cambridge.org/core/terms","page":"401-419","source":"DOI.org (Crossref)","title":"Multidimensional Scaling: I. Theory and Method","title-short":"Multidimensional Scaling","volume":"17","author":[{"family":"Torgerson","given":"Warren S."}],"issued":{"date-parts":[["1952",12]]}}}],"schema":"https://github.com/citation-style-language/schema/raw/master/csl-citation.json"} </w:instrText>
      </w:r>
      <w:r w:rsidR="00B35E17">
        <w:fldChar w:fldCharType="separate"/>
      </w:r>
      <w:r w:rsidR="00B35E17" w:rsidRPr="00B35E17">
        <w:rPr>
          <w:rFonts w:cs="Times New Roman"/>
          <w:szCs w:val="24"/>
          <w:vertAlign w:val="superscript"/>
        </w:rPr>
        <w:t>27</w:t>
      </w:r>
      <w:r w:rsidR="00B35E17">
        <w:fldChar w:fldCharType="end"/>
      </w:r>
      <w:r>
        <w:t xml:space="preserve"> (classical MDS): given the target distance matrix D, we compute the double-centered matrix B = −0.5 H D² H, where H = I − (1/n)11^T is the centering matrix. The top-2 eig</w:t>
      </w:r>
      <w:r>
        <w:t>envectors of B (by eigenvalue magnitude) are extracted and scaled by √λ, where λ are the corresponding eigenvalues. The initial coordinates are then scaled by a factor of 0.8 and projected onto the Poincaré ball via `ball.projx()` to ensure they lie within</w:t>
      </w:r>
      <w:r>
        <w:t xml:space="preserve"> the unit disk.</w:t>
      </w:r>
    </w:p>
    <w:p w:rsidR="00FD3080" w:rsidRDefault="007C3393">
      <w:r>
        <w:t xml:space="preserve">The embedding is optimized using Riemannian Adam </w:t>
      </w:r>
      <w:r w:rsidR="00B35E17">
        <w:fldChar w:fldCharType="begin"/>
      </w:r>
      <w:r w:rsidR="00B35E17">
        <w:instrText xml:space="preserve"> ADDIN ZOTERO_ITEM CSL_CITATION {"citationID":"AsOF18m2","properties":{"formattedCitation":"\\super 19\\nosupersub{}","plainCitation":"19","noteIndex":0},"citationItems":[{"id":5207,"uris":["http://zotero.org/users/local/FhkaGxCY/items/39RVZSG8"],"itemData":{"id":5207,"type":"article","abstract":"Several first order stochastic optimization methods commonly used in the Euclidean domain such as stochastic gradient descent (SGD), accelerated gradient descent or variance reduced methods have already been adapted to certain Riemannian settings. However, some of the most popular of these optimization tools - namely Adam , Adagrad and the more recent Amsgrad - remain to be generalized to Riemannian manifolds. We discuss the difficulty of generalizing such adaptive schemes to the most agnostic Riemannian setting, and then provide algorithms and convergence proofs for geodesically convex objectives in the particular case of a product of Riemannian manifolds, in which adaptivity is implemented across manifolds in the cartesian product. Our generalization is tight in the sense that choosing the Euclidean space as Riemannian manifold yields the same algorithms and regret bounds as those that were already known for the standard algorithms. Experimentally, we show faster convergence and to a lower train loss value for Riemannian adaptive methods over their corresponding baselines on the realistic task of embedding the WordNet taxonomy in the Poincare ball.","DOI":"10.48550/ARXIV.1810.00760","license":"arXiv.org perpetual, non-exclusive license","note":"version: 2","publisher":"arXiv","source":"DOI.org (Datacite)","title":"Riemannian Adaptive Optimization Methods","URL":"https://arxiv.org/abs/1810.00760","author":[{"family":"Bécigneul","given":"Gary"},{"family":"Ganea","given":"Octavian-Eugen"}],"accessed":{"date-parts":[["2026",5,11]]},"issued":{"date-parts":[["2018"]]}}}],"schema":"https://github.com/citation-style-language/schema/raw/master/csl-citation.json"} </w:instrText>
      </w:r>
      <w:r w:rsidR="00B35E17">
        <w:fldChar w:fldCharType="separate"/>
      </w:r>
      <w:r w:rsidR="00B35E17" w:rsidRPr="00B35E17">
        <w:rPr>
          <w:rFonts w:cs="Times New Roman"/>
          <w:szCs w:val="24"/>
          <w:vertAlign w:val="superscript"/>
        </w:rPr>
        <w:t>19</w:t>
      </w:r>
      <w:r w:rsidR="00B35E17">
        <w:fldChar w:fldCharType="end"/>
      </w:r>
      <w:r>
        <w:t xml:space="preserve"> with the stress function:</w:t>
      </w:r>
    </w:p>
    <w:p w:rsidR="00FD3080" w:rsidRDefault="007C3393">
      <w:r>
        <w:t>L = (1/|S|) Σ_{(i,j)∈S} (d_H(θ_i, θ_j) − D_target(i,j))² + λ · max(0, r_target − mean(||θ_i||))²</w:t>
      </w:r>
    </w:p>
    <w:p w:rsidR="00FD3080" w:rsidRDefault="007C3393">
      <w:r>
        <w:t>where d_H is the geodesic distance on the Poincaré ball (comput</w:t>
      </w:r>
      <w:r>
        <w:t>ed via `geoopt.PoincareBall.dist`), |S| = 100,000 mini-batch pairs per epoch, r_target = 0.4, and λ = 0.5. The repulsion term (second term) is always enabled during optimization and prevents collapse toward the origin by penalizing embeddings whose mean ra</w:t>
      </w:r>
      <w:r>
        <w:t>dius falls below r_target. Optimization runs for 2,000 epochs with learning rate 0.05 and weight decay 10⁻⁵. After each gradient step, all points are re-projected onto the Poincaré ball to maintain feasibility.</w:t>
      </w:r>
    </w:p>
    <w:p w:rsidR="00FD3080" w:rsidRDefault="007C3393">
      <w:r>
        <w:rPr>
          <w:b/>
        </w:rPr>
        <w:lastRenderedPageBreak/>
        <w:t>Convergence.</w:t>
      </w:r>
      <w:r>
        <w:t xml:space="preserve"> Loss curves (Supplementary Figur</w:t>
      </w:r>
      <w:r>
        <w:t>e 5) confirm that 2,000 epochs are sufficient for convergence across all tested datasets and parameter configurations. The loss typically stabilizes within 1,000–1,500 epochs, with diminishing returns thereafter.</w:t>
      </w:r>
    </w:p>
    <w:p w:rsidR="00FD3080" w:rsidRDefault="007C3393">
      <w:r>
        <w:rPr>
          <w:b/>
        </w:rPr>
        <w:t>Adaptive curvature.</w:t>
      </w:r>
      <w:r>
        <w:t xml:space="preserve"> When `adaptive_curvatur</w:t>
      </w:r>
      <w:r>
        <w:t>e=True`, a grid search over c ∈ {0.1, 0.2, 0.3, 0.5, 0.7, 1.0, 1.5, 2.0} is performed before the main optimization. For each c value, 3 independent short optimizations (500 epochs each) are run, and the curvature with the lowest median MDS stress is select</w:t>
      </w:r>
      <w:r>
        <w:t>ed. The final embedding is then produced by a full 2,000-epoch optimization using the selected curvature — the short optimizations serve only for curvature selection, not as the final result. Sensitivity analysis confirms that the method is robust to curva</w:t>
      </w:r>
      <w:r>
        <w:t>ture choice across the range c ∈ [0.1, 2.0] (Supplementary Figure 2).</w:t>
      </w:r>
    </w:p>
    <w:p w:rsidR="00FD3080" w:rsidRDefault="007C3393">
      <w:r>
        <w:rPr>
          <w:b/>
        </w:rPr>
        <w:t>Precomputed distances.</w:t>
      </w:r>
      <w:r>
        <w:t xml:space="preserve"> When a precomputed distance matrix D_target is provided (e.g., tree distances), it is normalized to [0, 0.95] and used directly as the optimization target, bypassi</w:t>
      </w:r>
      <w:r>
        <w:t>ng the k-NN graph construction.</w:t>
      </w:r>
    </w:p>
    <w:p w:rsidR="00FD3080" w:rsidRDefault="007C3393">
      <w:pPr>
        <w:pStyle w:val="21"/>
      </w:pPr>
      <w:r>
        <w:t>Hyperbolic Niche analysis</w:t>
      </w:r>
    </w:p>
    <w:p w:rsidR="00FD3080" w:rsidRDefault="007C3393">
      <w:r>
        <w:t>The Hyperbolic Niche of spot i is defined as the set of k-nearest neighbors in Poincaré geodesic distance, where k = 30 (matching the k-NN graph construction parameter used in the embedding). Geodes</w:t>
      </w:r>
      <w:r>
        <w:t>ic distances are computed using the Poincaré ball metric with curvature c = 0.5 via the geoopt library. For each spot, niche purity is the proportion of the most abundant KMeans cluster (k = 8) within the niche. Cell type pair enrichment is computed as the</w:t>
      </w:r>
      <w:r>
        <w:t xml:space="preserve"> observed frequency of cell type pair (A, B) co-occurrence in neighborhoods, divided by the expected frequency based on global cell type proportions. Statistical significance is assessed using permutation tests (n = 1,000 label shuffles). Multiple testing </w:t>
      </w:r>
      <w:r>
        <w:t>correction across cell type pairs is applied using the Benjamini–Hochberg FDR procedure. We compare hyperbolic niches (geodesic distance) against physical niches (Euclidean distance in tissue space) and PCA niches (Euclidean distance in PCA space).</w:t>
      </w:r>
    </w:p>
    <w:p w:rsidR="00FD3080" w:rsidRDefault="007C3393">
      <w:r>
        <w:rPr>
          <w:b/>
        </w:rPr>
        <w:t>Inter-c</w:t>
      </w:r>
      <w:r>
        <w:rPr>
          <w:b/>
        </w:rPr>
        <w:t>ellular ligand–receptor interaction potential.</w:t>
      </w:r>
      <w:r>
        <w:t xml:space="preserve"> To test whether hyperbolic neighborhoods capture functional signaling beyond cell type co-occurrence, we computed the inter-cellular LR interaction potential. For each spot i expressing ligand L and each neigh</w:t>
      </w:r>
      <w:r>
        <w:t>bor j expressing receptor R, the pairwise interaction was √(expr_L[i] × expr_R[j]), where expr denotes the mean normalized expression across available genes. The spot-level potential was the mean of pairwise interactions over all k neighbors. We focused on</w:t>
      </w:r>
      <w:r>
        <w:t xml:space="preserve"> two cell type pairs known to be mediated by diffusible signals in the tumor microenvironment: CAF–macrophage (CXCL12–CXCR4, CCL2–CCR2) and endothelial–macrophage (VEGFA–FLT1, CSF1–CSF1R). As a negative control, we also tested epithelial–macrophage (CD44–L</w:t>
      </w:r>
      <w:r>
        <w:t>YVE1, MIF–CD74), which depends on direct cell–cell contact. This hypothesis-driven selection was made before analyzing the data. Mann–Whitney U tests compared potentials between hyperbolic and spatial neighborhoods, with Benjamini–Hochberg FDR correction f</w:t>
      </w:r>
      <w:r>
        <w:t>or three cell type pair comparisons.</w:t>
      </w:r>
    </w:p>
    <w:p w:rsidR="00FD3080" w:rsidRDefault="007C3393">
      <w:pPr>
        <w:pStyle w:val="21"/>
      </w:pPr>
      <w:r>
        <w:t>Hierarchical Differential Score (HDS)</w:t>
      </w:r>
    </w:p>
    <w:p w:rsidR="00FD3080" w:rsidRDefault="007C3393">
      <w:r>
        <w:t>For each pair of cell types (A, B), the HDS is defined as HDS(A, B) = r̄_A − r̄_B, where r̄ denotes the mean Poincaré radius. Positive HDS indicates that cell type A is more periphe</w:t>
      </w:r>
      <w:r>
        <w:t>ral (further from the origin) than B. Statistical significance is assessed using the Mann–Whitney U test with Benjamini–Hochberg FDR correction.</w:t>
      </w:r>
    </w:p>
    <w:p w:rsidR="00FD3080" w:rsidRDefault="007C3393">
      <w:pPr>
        <w:pStyle w:val="21"/>
      </w:pPr>
      <w:r>
        <w:lastRenderedPageBreak/>
        <w:t>Cell type signatures</w:t>
      </w:r>
    </w:p>
    <w:p w:rsidR="00FD3080" w:rsidRDefault="007C3393">
      <w:r>
        <w:t>Cell type module scores are computed as the mean expression of marker genes, followed by z</w:t>
      </w:r>
      <w:r>
        <w:t>-score normalization across all spots. Six cell types are defined: Epithelial (EPCAM, KRT18, KRT19, KRT8), Fibroblast (COL1A1, COL1A2, DCN, LUM), T cell (CD3D, CD3E, CD2), Macrophage (CD68, C1QA, C1QB, C1QC), Endothelial (VWF, CDH5, ENG), and Cancer-associ</w:t>
      </w:r>
      <w:r>
        <w:t xml:space="preserve">ated Fibroblast (FAP, POSTN, ACTA2, MMP2). For visualization, spatial communities were identified using the Leiden algorithm </w:t>
      </w:r>
      <w:r w:rsidR="00B35E17">
        <w:fldChar w:fldCharType="begin"/>
      </w:r>
      <w:r w:rsidR="00B35E17">
        <w:instrText xml:space="preserve"> ADDIN ZOTERO_ITEM CSL_CITATION {"citationID":"39Ph61c9","properties":{"formattedCitation":"\\super 28\\nosupersub{}","plainCitation":"28","noteIndex":0},"citationItems":[{"id":5221,"uris":["http://zotero.org/users/local/FhkaGxCY/items/85RFNPDY"],"itemData":{"id":5221,"type":"article-journal","abstract":"Abstract\n            Community detection is often used to understand the structure of large and complex networks. One of the most popular algorithms for uncovering community structure is the so-called Louvain algorithm. We show that this algorithm has a major defect that largely went unnoticed until now: the Louvain algorithm may yield arbitrarily badly connected communities. In the worst case, communities may even be disconnected, especially when running the algorithm iteratively. In our experimental analysis, we observe that up to 25% of the communities are badly connected and up to 16% are disconnected. To address this problem, we introduce the Leiden algorithm. We prove that the Leiden algorithm yields communities that are guaranteed to be connected. In addition, we prove that, when the Leiden algorithm is applied iteratively, it converges to a partition in which all subsets of all communities are locally optimally assigned. Furthermore, by relying on a fast local move approach, the Leiden algorithm runs faster than the Louvain algorithm. We demonstrate the performance of the Leiden algorithm for several benchmark and real-world networks. We find that the Leiden algorithm is faster than the Louvain algorithm and uncovers better partitions, in addition to providing explicit guarantees.","container-title":"Scientific Reports","DOI":"10.1038/s41598-019-41695-z","ISSN":"2045-2322","issue":"1","journalAbbreviation":"Sci Rep","language":"en","page":"5233","source":"DOI.org (Crossref)","title":"From Louvain to Leiden: guaranteeing well-connected communities","title-short":"From Louvain to Leiden","volume":"9","author":[{"family":"Traag","given":"V. A."},{"family":"Waltman","given":"L."},{"family":"Van Eck","given":"N. J."}],"issued":{"date-parts":[["2019",3,26]]}}}],"schema":"https://github.com/citation-style-language/schema/raw/master/csl-citation.json"} </w:instrText>
      </w:r>
      <w:r w:rsidR="00B35E17">
        <w:fldChar w:fldCharType="separate"/>
      </w:r>
      <w:r w:rsidR="00B35E17" w:rsidRPr="00B35E17">
        <w:rPr>
          <w:rFonts w:cs="Times New Roman"/>
          <w:szCs w:val="24"/>
          <w:vertAlign w:val="superscript"/>
        </w:rPr>
        <w:t>28</w:t>
      </w:r>
      <w:r w:rsidR="00B35E17">
        <w:fldChar w:fldCharType="end"/>
      </w:r>
      <w:r>
        <w:t>.</w:t>
      </w:r>
    </w:p>
    <w:p w:rsidR="00FD3080" w:rsidRDefault="007C3393">
      <w:pPr>
        <w:pStyle w:val="21"/>
      </w:pPr>
      <w:r>
        <w:t>Tumor zone segmentation</w:t>
      </w:r>
    </w:p>
    <w:p w:rsidR="00FD3080" w:rsidRDefault="007C3393">
      <w:r>
        <w:t>Spots are divided into inner, middle, and outer zones using the 33rd and 67th percentiles of the Poin</w:t>
      </w:r>
      <w:r>
        <w:t>caré radius distribution, yielding approximately equal-sized regions. Kruskal–Wallis tests assess differential cell-type module scores across zones, with Benjamini–Hochberg FDR correction for six cell type comparisons.</w:t>
      </w:r>
    </w:p>
    <w:p w:rsidR="00FD3080" w:rsidRDefault="007C3393">
      <w:pPr>
        <w:pStyle w:val="21"/>
      </w:pPr>
      <w:r>
        <w:t>Theoretical analysis</w:t>
      </w:r>
    </w:p>
    <w:p w:rsidR="00FD3080" w:rsidRDefault="007C3393">
      <w:r>
        <w:t>Binary tree stru</w:t>
      </w:r>
      <w:r>
        <w:t>ctures of depth D = 2–8 are generated with 20 samples per leaf node and Gaussian noise (σ = 0.3). Tree distances are computed as the shortest-path length through the lowest common ancestor. Both Poincaré MDS (with precomputed D_target) and Euclidean MDS (w</w:t>
      </w:r>
      <w:r>
        <w:t>ith precomputed D_target) are applied, and normalized MDS stress is computed as:</w:t>
      </w:r>
    </w:p>
    <w:p w:rsidR="00FD3080" w:rsidRDefault="007C3393">
      <w:r>
        <w:t>stress = √(Σ(d_target − d_embedding)² / Σ d_target²)</w:t>
      </w:r>
    </w:p>
    <w:p w:rsidR="00FD3080" w:rsidRDefault="007C3393">
      <w:r>
        <w:t>Scaling laws are fitted using least-squares regression: stress ~ a·ln(D) + b for Poincaré MDS, and stress ~ a·D + b for Eu</w:t>
      </w:r>
      <w:r>
        <w:t>clidean MDS.</w:t>
      </w:r>
    </w:p>
    <w:p w:rsidR="00FD3080" w:rsidRDefault="007C3393">
      <w:pPr>
        <w:pStyle w:val="21"/>
      </w:pPr>
      <w:r>
        <w:t>Cross-dataset validation</w:t>
      </w:r>
    </w:p>
    <w:p w:rsidR="00FD3080" w:rsidRDefault="007C3393">
      <w:r>
        <w:rPr>
          <w:b/>
        </w:rPr>
        <w:t>Slide-seq V2.</w:t>
      </w:r>
      <w:r>
        <w:t xml:space="preserve"> Real mouse hippocampus Slide-seq V2 data </w:t>
      </w:r>
      <w:r w:rsidR="00B35E17">
        <w:fldChar w:fldCharType="begin"/>
      </w:r>
      <w:r w:rsidR="00B35E17">
        <w:instrText xml:space="preserve"> ADDIN ZOTERO_ITEM CSL_CITATION {"citationID":"D2gLEJhX","properties":{"formattedCitation":"\\super 4\\nosupersub{}","plainCitation":"4","noteIndex":0},"citationItems":[{"id":5183,"uris":["http://zotero.org/users/local/FhkaGxCY/items/79JVZKE9"],"itemData":{"id":5183,"type":"article-journal","container-title":"Nature Biotechnology","DOI":"10.1038/s41587-020-0739-1","ISSN":"1087-0156, 1546-1696","issue":"3","journalAbbreviation":"Nat Biotechnol","language":"en","page":"313-319","source":"DOI.org (Crossref)","title":"Highly sensitive spatial transcriptomics at near-cellular resolution with Slide-seqV2","volume":"39","author":[{"family":"Stickels","given":"Robert R."},{"family":"Murray","given":"Evan"},{"family":"Kumar","given":"Pawan"},{"family":"Li","given":"Jilong"},{"family":"Marshall","given":"Jamie L."},{"family":"Di Bella","given":"Daniela J."},{"family":"Arlotta","given":"Paola"},{"family":"Macosko","given":"Evan Z."},{"family":"Chen","given":"Fei"}],"issued":{"date-parts":[["2021",3]]}}}],"schema":"https://github.com/citation-style-language/schema/raw/master/csl-citation.json"} </w:instrText>
      </w:r>
      <w:r w:rsidR="00B35E17">
        <w:fldChar w:fldCharType="separate"/>
      </w:r>
      <w:r w:rsidR="00B35E17" w:rsidRPr="00B35E17">
        <w:rPr>
          <w:rFonts w:cs="Times New Roman"/>
          <w:szCs w:val="24"/>
          <w:vertAlign w:val="superscript"/>
        </w:rPr>
        <w:t>4</w:t>
      </w:r>
      <w:r w:rsidR="00B35E17">
        <w:fldChar w:fldCharType="end"/>
      </w:r>
      <w:r>
        <w:t xml:space="preserve"> (41,786 beads, 14 anatomical clusters) were downloaded from the Broad Institute Single Cell Portal. A random subsample of 5,000 beads was used for embedding and analysis. Cluster labels were used to compute rad</w:t>
      </w:r>
      <w:r>
        <w:t>ius–cluster Spearman correlation and NMI/ARI against KMeans clusters in the embedding.</w:t>
      </w:r>
    </w:p>
    <w:p w:rsidR="00FD3080" w:rsidRDefault="007C3393">
      <w:r>
        <w:rPr>
          <w:b/>
        </w:rPr>
        <w:t>Developmental cortex.</w:t>
      </w:r>
      <w:r>
        <w:t xml:space="preserve"> Synthetic cortical data is generated with 4 differentiation stages (Progenitor, Intermediate, Mature_SATB2, Mature_TBR1), 500 spots per stage, and 50-dimensional feature vectors (noise σ = 0.3).</w:t>
      </w:r>
    </w:p>
    <w:p w:rsidR="00FD3080" w:rsidRDefault="007C3393">
      <w:r>
        <w:t>Both datasets use ordinal encoding of layers/stages for Spea</w:t>
      </w:r>
      <w:r>
        <w:t>rman correlation with Poincaré radius.</w:t>
      </w:r>
    </w:p>
    <w:p w:rsidR="00FD3080" w:rsidRDefault="007C3393">
      <w:pPr>
        <w:pStyle w:val="21"/>
      </w:pPr>
      <w:r>
        <w:t>Benchmark metrics</w:t>
      </w:r>
    </w:p>
    <w:p w:rsidR="00FD3080" w:rsidRDefault="007C3393">
      <w:r>
        <w:t xml:space="preserve">- </w:t>
      </w:r>
      <w:r>
        <w:rPr>
          <w:b/>
        </w:rPr>
        <w:t>Spearman ρ</w:t>
      </w:r>
      <w:r>
        <w:t xml:space="preserve">: Rank correlation between pairwise distances in the embedding and in PCA space. - </w:t>
      </w:r>
      <w:r>
        <w:rPr>
          <w:b/>
        </w:rPr>
        <w:t>Trustworthiness</w:t>
      </w:r>
      <w:r>
        <w:t>: Proportion of true k-nearest neighbors that are also k-nearest in the embedding (k = 15</w:t>
      </w:r>
      <w:r>
        <w:t xml:space="preserve">). - </w:t>
      </w:r>
      <w:r>
        <w:rPr>
          <w:b/>
        </w:rPr>
        <w:t>k-NN retention</w:t>
      </w:r>
      <w:r>
        <w:t xml:space="preserve">: Proportion of samples whose k = 15 nearest neighbors are preserved in the embedding. - </w:t>
      </w:r>
      <w:r>
        <w:rPr>
          <w:b/>
        </w:rPr>
        <w:t>NMI/ARI</w:t>
      </w:r>
      <w:r>
        <w:t>: Normalized Mutual Information and Adjusted Rand Index for KMeans clusters vs. radius-based zone labels.</w:t>
      </w:r>
    </w:p>
    <w:p w:rsidR="00FD3080" w:rsidRDefault="007C3393">
      <w:pPr>
        <w:pStyle w:val="21"/>
      </w:pPr>
      <w:r>
        <w:t>Implementation</w:t>
      </w:r>
    </w:p>
    <w:p w:rsidR="00FD3080" w:rsidRDefault="007C3393">
      <w:r>
        <w:t>Poincaré MDS is impl</w:t>
      </w:r>
      <w:r>
        <w:t xml:space="preserve">emented in Python 3.7+ using PyTorch (v1.12+) and geoopt (v0.5.0+) for Riemannian optimization on the Poincaré ball manifold. Data preprocessing and visualization </w:t>
      </w:r>
      <w:r>
        <w:lastRenderedPageBreak/>
        <w:t xml:space="preserve">used Scanpy (v1.9+) </w:t>
      </w:r>
      <w:r w:rsidR="00B35E17">
        <w:fldChar w:fldCharType="begin"/>
      </w:r>
      <w:r w:rsidR="00B35E17">
        <w:instrText xml:space="preserve"> ADDIN ZOTERO_ITEM CSL_CITATION {"citationID":"qzUrXL2H","properties":{"formattedCitation":"\\super 26\\nosupersub{}","plainCitation":"26","noteIndex":0},"citationItems":[{"id":5218,"uris":["http://zotero.org/users/local/FhkaGxCY/items/KHALXQKA"],"itemData":{"id":5218,"type":"article-journal","container-title":"Genome Biology","DOI":"10.1186/s13059-017-1382-0","ISSN":"1474-760X","issue":"1","journalAbbreviation":"Genome Biol","language":"en","page":"15","source":"DOI.org (Crossref)","title":"SCANPY: large-scale single-cell gene expression data analysis","title-short":"SCANPY","volume":"19","author":[{"family":"Wolf","given":"F. Alexander"},{"family":"Angerer","given":"Philipp"},{"family":"Theis","given":"Fabian J."}],"issued":{"date-parts":[["2018",12]]}}}],"schema":"https://github.com/citation-style-language/schema/raw/master/csl-citation.json"} </w:instrText>
      </w:r>
      <w:r w:rsidR="00B35E17">
        <w:fldChar w:fldCharType="separate"/>
      </w:r>
      <w:r w:rsidR="00B35E17" w:rsidRPr="00B35E17">
        <w:rPr>
          <w:rFonts w:cs="Times New Roman"/>
          <w:szCs w:val="24"/>
          <w:vertAlign w:val="superscript"/>
        </w:rPr>
        <w:t>26</w:t>
      </w:r>
      <w:r w:rsidR="00B35E17">
        <w:fldChar w:fldCharType="end"/>
      </w:r>
      <w:r>
        <w:t xml:space="preserve"> and Squidpy (v1.2+)</w:t>
      </w:r>
      <w:r w:rsidR="00B35E17">
        <w:fldChar w:fldCharType="begin"/>
      </w:r>
      <w:r w:rsidR="00B35E17">
        <w:instrText xml:space="preserve"> ADDIN ZOTERO_ITEM CSL_CITATION {"citationID":"LpCWN9IN","properties":{"formattedCitation":"\\super 29\\nosupersub{}","plainCitation":"29","noteIndex":0},"citationItems":[{"id":5223,"uris":["http://zotero.org/users/local/FhkaGxCY/items/4FUZA8LD"],"itemData":{"id":5223,"type":"article-journal","abstract":"Abstract\n            Spatial omics data are advancing the study of tissue organization and cellular communication at an unprecedented scale. Flexible tools are required to store, integrate and visualize the large diversity of spatial omics data. Here, we present Squidpy, a Python framework that brings together tools from omics and image analysis to enable scalable description of spatial molecular data, such as transcriptome or multivariate proteins. Squidpy provides efficient infrastructure and numerous analysis methods that allow to efficiently store, manipulate and interactively visualize spatial omics data. Squidpy is extensible and can be interfaced with a variety of already existing libraries for the scalable analysis of spatial omics data.","container-title":"Nature Methods","DOI":"10.1038/s41592-021-01358-2","ISSN":"1548-7091, 1548-7105","issue":"2","journalAbbreviation":"Nat Methods","language":"en","page":"171-178","source":"DOI.org (Crossref)","title":"Squidpy: a scalable framework for spatial omics analysis","title-short":"Squidpy","volume":"19","author":[{"family":"Palla","given":"Giovanni"},{"family":"Spitzer","given":"Hannah"},{"family":"Klein","given":"Michal"},{"family":"Fischer","given":"David"},{"family":"Schaar","given":"Anna Christina"},{"family":"Kuemmerle","given":"Louis Benedikt"},{"family":"Rybakov","given":"Sergei"},{"family":"Ibarra","given":"Ignacio L."},{"family":"Holmberg","given":"Olle"},{"family":"Virshup","given":"Isaac"},{"family":"Lotfollahi","given":"Mohammad"},{"family":"Richter","given":"Sabrina"},{"family":"Theis","given":"Fabian J."}],"issued":{"date-parts":[["2022",2]]}}}],"schema":"https://github.com/citation-style-language/schema/raw/master/csl-citation.json"} </w:instrText>
      </w:r>
      <w:r w:rsidR="00B35E17">
        <w:fldChar w:fldCharType="separate"/>
      </w:r>
      <w:r w:rsidR="00B35E17" w:rsidRPr="00B35E17">
        <w:rPr>
          <w:rFonts w:cs="Times New Roman"/>
          <w:szCs w:val="24"/>
          <w:vertAlign w:val="superscript"/>
        </w:rPr>
        <w:t>29</w:t>
      </w:r>
      <w:r w:rsidR="00B35E17">
        <w:fldChar w:fldCharType="end"/>
      </w:r>
      <w:r>
        <w:t>. Statistical analysis used SciPy (v1.9+) an</w:t>
      </w:r>
      <w:r>
        <w:t xml:space="preserve">d scikit-learn (v1.1+). Figure generation used Matplotlib (v3.5+) and Seaborn (v0.12+). Batch integration, where applicable, used Harmony </w:t>
      </w:r>
      <w:r w:rsidR="00B35E17">
        <w:fldChar w:fldCharType="begin"/>
      </w:r>
      <w:r w:rsidR="00B35E17">
        <w:instrText xml:space="preserve"> ADDIN ZOTERO_ITEM CSL_CITATION {"citationID":"g3T5hnCc","properties":{"formattedCitation":"\\super 30\\nosupersub{}","plainCitation":"30","noteIndex":0},"citationItems":[{"id":5225,"uris":["http://zotero.org/users/local/FhkaGxCY/items/ZRVLBY6I"],"itemData":{"id":5225,"type":"article-journal","container-title":"Nature Methods","DOI":"10.1038/s41592-019-0619-0","ISSN":"1548-7091, 1548-7105","issue":"12","journalAbbreviation":"Nat Methods","language":"en","page":"1289-1296","source":"DOI.org (Crossref)","title":"Fast, sensitive and accurate integration of single-cell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sidR="00B35E17">
        <w:fldChar w:fldCharType="separate"/>
      </w:r>
      <w:r w:rsidR="00B35E17" w:rsidRPr="00B35E17">
        <w:rPr>
          <w:rFonts w:cs="Times New Roman"/>
          <w:szCs w:val="24"/>
          <w:vertAlign w:val="superscript"/>
        </w:rPr>
        <w:t>30</w:t>
      </w:r>
      <w:r w:rsidR="00B35E17">
        <w:fldChar w:fldCharType="end"/>
      </w:r>
      <w:r>
        <w:t xml:space="preserve"> or Seurat</w:t>
      </w:r>
      <w:r w:rsidR="00B35E17">
        <w:fldChar w:fldCharType="begin"/>
      </w:r>
      <w:r w:rsidR="00B35E17">
        <w:instrText xml:space="preserve"> ADDIN ZOTERO_ITEM CSL_CITATION {"citationID":"q94Mpa4k","properties":{"formattedCitation":"\\super 31\\nosupersub{}","plainCitation":"31","noteIndex":0},"citationItems":[{"id":5226,"uris":["http://zotero.org/users/local/FhkaGxCY/items/AJIELABE"],"itemData":{"id":5226,"type":"article-journal","container-title":"Cell","DOI":"10.1016/j.cell.2019.05.031","ISSN":"00928674","issue":"7","journalAbbreviation":"Cell","language":"en","page":"1888-1902.e21","source":"DOI.org (Crossref)","title":"Comprehensive Integration of Single-Cell Data","volume":"177","author":[{"family":"Stuart","given":"Tim"},{"family":"Butler","given":"Andrew"},{"family":"Hoffman","given":"Paul"},{"family":"Hafemeister","given":"Christoph"},{"family":"Papalexi","given":"Efthymia"},{"family":"Mauck","given":"William M."},{"family":"Hao","given":"Yuhan"},{"family":"Stoeckius","given":"Marlon"},{"family":"Smibert","given":"Peter"},{"family":"Satija","given":"Rahul"}],"issued":{"date-parts":[["2019",6]]}}}],"schema":"https://github.com/citation-style-language/schema/raw/master/csl-citation.json"} </w:instrText>
      </w:r>
      <w:r w:rsidR="00B35E17">
        <w:fldChar w:fldCharType="separate"/>
      </w:r>
      <w:r w:rsidR="00B35E17" w:rsidRPr="00B35E17">
        <w:rPr>
          <w:rFonts w:cs="Times New Roman"/>
          <w:szCs w:val="24"/>
          <w:vertAlign w:val="superscript"/>
        </w:rPr>
        <w:t>31</w:t>
      </w:r>
      <w:r w:rsidR="00B35E17">
        <w:fldChar w:fldCharType="end"/>
      </w:r>
      <w:r>
        <w:t xml:space="preserve">. Spatial analysis utilities were drawn from Giotto </w:t>
      </w:r>
      <w:r w:rsidR="00B35E17">
        <w:fldChar w:fldCharType="begin"/>
      </w:r>
      <w:r w:rsidR="00B35E17">
        <w:instrText xml:space="preserve"> ADDIN ZOTERO_ITEM CSL_CITATION {"citationID":"BzBrDRbu","properties":{"formattedCitation":"\\super 32\\nosupersub{}","plainCitation":"32","noteIndex":0},"citationItems":[{"id":5228,"uris":["http://zotero.org/users/local/FhkaGxCY/items/Y3GKIA4P"],"itemData":{"id":5228,"type":"article-journal","abstract":"Abstract\n            Spatial transcriptomic and proteomic technologies have provided new opportunities to investigate cells in their native microenvironment. Here we present Giotto, a comprehensive and open-source toolbox for spatial data analysis and visualization. The analysis module provides end-to-end analysis by implementing a wide range of algorithms for characterizing tissue composition, spatial expression patterns, and cellular interactions. Furthermore, single-cell RNAseq data can be integrated for spatial cell-type enrichment analysis. The visualization module allows users to interactively visualize analysis outputs and imaging features. To demonstrate its general applicability, we apply Giotto to a wide range of datasets encompassing diverse technologies and platforms.","container-title":"Genome Biology","DOI":"10.1186/s13059-021-02286-2","ISSN":"1474-760X","issue":"1","journalAbbreviation":"Genome Biol","language":"en","page":"78","source":"DOI.org (Crossref)","title":"Giotto: a toolbox for integrative analysis and visualization of spatial expression data","title-short":"Giotto","volume":"22","author":[{"family":"Dries","given":"Ruben"},{"family":"Zhu","given":"Qian"},{"family":"Dong","given":"Rui"},{"family":"Eng","given":"Chee-Huat Linus"},{"family":"Li","given":"Huipeng"},{"family":"Liu","given":"Kan"},{"family":"Fu","given":"Yuntian"},{"family":"Zhao","given":"Tianxiao"},{"family":"Sarkar","given":"Arpan"},{"family":"Bao","given":"Feng"},{"family":"George","given":"Rani E."},{"family":"Pierson","given":"Nico"},{"family":"Cai","given":"Long"},{"family":"Yuan","given":"Guo-Cheng"}],"issued":{"date-parts":[["2021",12]]}}}],"schema":"https://github.com/citation-style-language/schema/raw/master/csl-citation.json"} </w:instrText>
      </w:r>
      <w:r w:rsidR="00B35E17">
        <w:fldChar w:fldCharType="separate"/>
      </w:r>
      <w:r w:rsidR="00B35E17" w:rsidRPr="00B35E17">
        <w:rPr>
          <w:rFonts w:cs="Times New Roman"/>
          <w:szCs w:val="24"/>
          <w:vertAlign w:val="superscript"/>
        </w:rPr>
        <w:t>32</w:t>
      </w:r>
      <w:r w:rsidR="00B35E17">
        <w:fldChar w:fldCharType="end"/>
      </w:r>
      <w:r>
        <w:t>. Cell type deconvolution references includ</w:t>
      </w:r>
      <w:r>
        <w:t xml:space="preserve">e RCTD </w:t>
      </w:r>
      <w:r w:rsidR="00B35E17">
        <w:fldChar w:fldCharType="begin"/>
      </w:r>
      <w:r w:rsidR="00B35E17">
        <w:instrText xml:space="preserve"> ADDIN ZOTERO_ITEM CSL_CITATION {"citationID":"5fVO17eL","properties":{"formattedCitation":"\\super 33\\nosupersub{}","plainCitation":"33","noteIndex":0},"citationItems":[{"id":5230,"uris":["http://zotero.org/users/local/FhkaGxCY/items/XJLWXY68"],"itemData":{"id":5230,"type":"article-journal","container-title":"Nature Biotechnology","DOI":"10.1038/s41587-021-00830-w","ISSN":"1087-0156, 1546-1696","issue":"4","journalAbbreviation":"Nat Biotechnol","language":"en","page":"517-526","source":"DOI.org (Crossref)","title":"Robust decomposition of cell type mixtures in spatial transcriptomics","volume":"40","author":[{"family":"Cable","given":"Dylan M."},{"family":"Murray","given":"Evan"},{"family":"Zou","given":"Luli S."},{"family":"Goeva","given":"Aleksandrina"},{"family":"Macosko","given":"Evan Z."},{"family":"Chen","given":"Fei"},{"family":"Irizarry","given":"Rafael A."}],"issued":{"date-parts":[["2022",4]]}}}],"schema":"https://github.com/citation-style-language/schema/raw/master/csl-citation.json"} </w:instrText>
      </w:r>
      <w:r w:rsidR="00B35E17">
        <w:fldChar w:fldCharType="separate"/>
      </w:r>
      <w:r w:rsidR="00B35E17" w:rsidRPr="00B35E17">
        <w:rPr>
          <w:rFonts w:cs="Times New Roman"/>
          <w:szCs w:val="24"/>
          <w:vertAlign w:val="superscript"/>
        </w:rPr>
        <w:t>33</w:t>
      </w:r>
      <w:r w:rsidR="00B35E17">
        <w:fldChar w:fldCharType="end"/>
      </w:r>
      <w:r>
        <w:t>. PHATE was computed using the phate package (v1.0.9). All random processes were seeded with 42 for reproducibility. All experiments were run on a 6-core CPU (Intel i7-10750H) with 16 GB RAM. An environment file with pinned dependency versions i</w:t>
      </w:r>
      <w:r>
        <w:t>s available in the code repository. Code is available at https://github.com/KeranSun/poincare-mds-spatial.</w:t>
      </w:r>
    </w:p>
    <w:p w:rsidR="00FD3080" w:rsidRDefault="007C3393">
      <w:pPr>
        <w:pStyle w:val="1"/>
      </w:pPr>
      <w:r>
        <w:t>Data Availability</w:t>
      </w:r>
    </w:p>
    <w:p w:rsidR="00FD3080" w:rsidRDefault="007C3393">
      <w:r>
        <w:t xml:space="preserve">Gastric cancer 10x Visium data are available from the Gene Expression Omnibus under accession GSE251950 </w:t>
      </w:r>
      <w:r w:rsidR="00B35E17">
        <w:fldChar w:fldCharType="begin"/>
      </w:r>
      <w:r w:rsidR="00B35E17">
        <w:instrText xml:space="preserve"> ADDIN ZOTERO_ITEM CSL_CITATION {"citationID":"7FJinBvZ","properties":{"formattedCitation":"\\super 33\\nosupersub{}","plainCitation":"33","noteIndex":0},"citationItems":[{"id":5230,"uris":["http://zotero.org/users/local/FhkaGxCY/items/XJLWXY68"],"itemData":{"id":5230,"type":"article-journal","container-title":"Nature Biotechnology","DOI":"10.1038/s41587-021-00830-w","ISSN":"1087-0156, 1546-1696","issue":"4","journalAbbreviation":"Nat Biotechnol","language":"en","page":"517-526","source":"DOI.org (Crossref)","title":"Robust decomposition of cell type mixtures in spatial transcriptomics","volume":"40","author":[{"family":"Cable","given":"Dylan M."},{"family":"Murray","given":"Evan"},{"family":"Zou","given":"Luli S."},{"family":"Goeva","given":"Aleksandrina"},{"family":"Macosko","given":"Evan Z."},{"family":"Chen","given":"Fei"},{"family":"Irizarry","given":"Rafael A."}],"issued":{"date-parts":[["2022",4]]}}}],"schema":"https://github.com/citation-style-language/schema/raw/master/csl-citation.json"} </w:instrText>
      </w:r>
      <w:r w:rsidR="00B35E17">
        <w:fldChar w:fldCharType="separate"/>
      </w:r>
      <w:r w:rsidR="00B35E17" w:rsidRPr="00B35E17">
        <w:rPr>
          <w:rFonts w:cs="Times New Roman"/>
          <w:szCs w:val="24"/>
          <w:vertAlign w:val="superscript"/>
        </w:rPr>
        <w:t>33</w:t>
      </w:r>
      <w:r w:rsidR="00B35E17">
        <w:fldChar w:fldCharType="end"/>
      </w:r>
      <w:r>
        <w:t>. Slide-seq V2 mouse hi</w:t>
      </w:r>
      <w:r>
        <w:t>ppocampus data are available from the Broad Institute Single Cell Portal (https://singlecell.broadinstitute.org/single_cell). All processed data and source code are publicly available at https://github.com/KeranSun/poincare-mds-spatial.</w:t>
      </w:r>
    </w:p>
    <w:p w:rsidR="00FD3080" w:rsidRDefault="007C3393">
      <w:pPr>
        <w:pStyle w:val="1"/>
      </w:pPr>
      <w:r>
        <w:t>Code Availability</w:t>
      </w:r>
    </w:p>
    <w:p w:rsidR="00FD3080" w:rsidRDefault="007C3393">
      <w:r>
        <w:t>T</w:t>
      </w:r>
      <w:r>
        <w:t>he Poincaré MDS Python package, Hyperbolic Niche analysis code, and all scripts to reproduce the analyses and figures in this paper are available at https://github.com/KeranSun/poincare-mds-spatial.</w:t>
      </w:r>
    </w:p>
    <w:p w:rsidR="00FD3080" w:rsidRDefault="007C3393">
      <w:pPr>
        <w:pStyle w:val="1"/>
      </w:pPr>
      <w:r>
        <w:t>Declarations</w:t>
      </w:r>
    </w:p>
    <w:p w:rsidR="00FD3080" w:rsidRDefault="007C3393">
      <w:r>
        <w:rPr>
          <w:b/>
        </w:rPr>
        <w:t>Competing Interests.</w:t>
      </w:r>
      <w:r>
        <w:t xml:space="preserve"> The authors declare no </w:t>
      </w:r>
      <w:r>
        <w:t>competing interests.</w:t>
      </w:r>
    </w:p>
    <w:p w:rsidR="00FD3080" w:rsidRDefault="007C3393">
      <w:r>
        <w:rPr>
          <w:b/>
        </w:rPr>
        <w:t>Author Contributions.</w:t>
      </w:r>
      <w:r>
        <w:t xml:space="preserve"> </w:t>
      </w:r>
      <w:r w:rsidR="00E21894" w:rsidRPr="00E21894">
        <w:t>K.S.</w:t>
      </w:r>
      <w:r w:rsidR="00E21894">
        <w:t xml:space="preserve"> and </w:t>
      </w:r>
      <w:r w:rsidR="00E21894" w:rsidRPr="00E21894">
        <w:t xml:space="preserve"> </w:t>
      </w:r>
      <w:r w:rsidR="00E21894" w:rsidRPr="00E21894">
        <w:t>K.J.</w:t>
      </w:r>
      <w:r w:rsidR="00E21894" w:rsidRPr="00E21894">
        <w:t xml:space="preserve"> conceived the project, developed the Poincaré MDS and Hyperbolic Niche methods, performed all computational analyses, generated figures, and wrote the manuscript.</w:t>
      </w:r>
      <w:r w:rsidR="00E21894">
        <w:t xml:space="preserve"> </w:t>
      </w:r>
      <w:r w:rsidR="00E21894" w:rsidRPr="00E21894">
        <w:t>H.L. contributed to immunological data interpretation and experimental design. L.W. and C.M. supervised the immunological aspects and provided critical feedback. F.Y. supervised the clinical aspects and revised the manuscript. All authors reviewed and approved the final manuscript.</w:t>
      </w:r>
    </w:p>
    <w:p w:rsidR="00FD3080" w:rsidRDefault="007C3393">
      <w:r>
        <w:rPr>
          <w:b/>
        </w:rPr>
        <w:t>Funding.</w:t>
      </w:r>
      <w:r>
        <w:t xml:space="preserve"> </w:t>
      </w:r>
      <w:r w:rsidR="00E21894">
        <w:t>None.</w:t>
      </w:r>
    </w:p>
    <w:p w:rsidR="00FD3080" w:rsidRDefault="007C3393">
      <w:r>
        <w:rPr>
          <w:b/>
        </w:rPr>
        <w:t>Acknowledgements.</w:t>
      </w:r>
      <w:r>
        <w:t xml:space="preserve"> </w:t>
      </w:r>
      <w:r w:rsidR="00E21894">
        <w:t>None.</w:t>
      </w:r>
    </w:p>
    <w:p w:rsidR="00FD3080" w:rsidRDefault="007C3393">
      <w:pPr>
        <w:pStyle w:val="1"/>
      </w:pPr>
      <w:r>
        <w:t>References</w:t>
      </w:r>
    </w:p>
    <w:p w:rsidR="00B35E17" w:rsidRPr="00B35E17" w:rsidRDefault="00B35E17" w:rsidP="00B35E17">
      <w:pPr>
        <w:pStyle w:val="aff1"/>
        <w:rPr>
          <w:rFonts w:cs="Times New Roman"/>
        </w:rPr>
      </w:pPr>
      <w:r>
        <w:fldChar w:fldCharType="begin"/>
      </w:r>
      <w:r>
        <w:instrText xml:space="preserve"> ADDIN ZOTERO_BIBL {"uncited":[],"omitted":[],"custom":[]} CSL_BIBLIOGRAPHY </w:instrText>
      </w:r>
      <w:r>
        <w:fldChar w:fldCharType="separate"/>
      </w:r>
      <w:r w:rsidRPr="00B35E17">
        <w:rPr>
          <w:rFonts w:cs="Times New Roman"/>
        </w:rPr>
        <w:t>1.</w:t>
      </w:r>
      <w:r w:rsidRPr="00B35E17">
        <w:rPr>
          <w:rFonts w:cs="Times New Roman"/>
        </w:rPr>
        <w:tab/>
        <w:t xml:space="preserve">Ståhl, P. L. </w:t>
      </w:r>
      <w:r w:rsidRPr="00B35E17">
        <w:rPr>
          <w:rFonts w:cs="Times New Roman"/>
          <w:i/>
          <w:iCs/>
        </w:rPr>
        <w:t>et al.</w:t>
      </w:r>
      <w:r w:rsidRPr="00B35E17">
        <w:rPr>
          <w:rFonts w:cs="Times New Roman"/>
        </w:rPr>
        <w:t xml:space="preserve"> Visualization and analysis of gene expression in tissue sections by spatial transcriptomics. </w:t>
      </w:r>
      <w:r w:rsidRPr="00B35E17">
        <w:rPr>
          <w:rFonts w:cs="Times New Roman"/>
          <w:i/>
          <w:iCs/>
        </w:rPr>
        <w:t>Science</w:t>
      </w:r>
      <w:r w:rsidRPr="00B35E17">
        <w:rPr>
          <w:rFonts w:cs="Times New Roman"/>
        </w:rPr>
        <w:t xml:space="preserve"> </w:t>
      </w:r>
      <w:r w:rsidRPr="00B35E17">
        <w:rPr>
          <w:rFonts w:cs="Times New Roman"/>
          <w:b/>
          <w:bCs/>
        </w:rPr>
        <w:t>353</w:t>
      </w:r>
      <w:r w:rsidRPr="00B35E17">
        <w:rPr>
          <w:rFonts w:cs="Times New Roman"/>
        </w:rPr>
        <w:t>, 78–82 (2016).</w:t>
      </w:r>
    </w:p>
    <w:p w:rsidR="00B35E17" w:rsidRPr="00B35E17" w:rsidRDefault="00B35E17" w:rsidP="00B35E17">
      <w:pPr>
        <w:pStyle w:val="aff1"/>
        <w:rPr>
          <w:rFonts w:cs="Times New Roman"/>
        </w:rPr>
      </w:pPr>
      <w:r w:rsidRPr="00B35E17">
        <w:rPr>
          <w:rFonts w:cs="Times New Roman"/>
        </w:rPr>
        <w:t>2.</w:t>
      </w:r>
      <w:r w:rsidRPr="00B35E17">
        <w:rPr>
          <w:rFonts w:cs="Times New Roman"/>
        </w:rPr>
        <w:tab/>
        <w:t xml:space="preserve">Method of the Year 2020: spatially resolved transcriptomics. </w:t>
      </w:r>
      <w:r w:rsidRPr="00B35E17">
        <w:rPr>
          <w:rFonts w:cs="Times New Roman"/>
          <w:i/>
          <w:iCs/>
        </w:rPr>
        <w:t>Nat Methods</w:t>
      </w:r>
      <w:r w:rsidRPr="00B35E17">
        <w:rPr>
          <w:rFonts w:cs="Times New Roman"/>
        </w:rPr>
        <w:t xml:space="preserve"> </w:t>
      </w:r>
      <w:r w:rsidRPr="00B35E17">
        <w:rPr>
          <w:rFonts w:cs="Times New Roman"/>
          <w:b/>
          <w:bCs/>
        </w:rPr>
        <w:t>18</w:t>
      </w:r>
      <w:r w:rsidRPr="00B35E17">
        <w:rPr>
          <w:rFonts w:cs="Times New Roman"/>
        </w:rPr>
        <w:t>, 1–1 (2021).</w:t>
      </w:r>
    </w:p>
    <w:p w:rsidR="00B35E17" w:rsidRPr="00B35E17" w:rsidRDefault="00B35E17" w:rsidP="00B35E17">
      <w:pPr>
        <w:pStyle w:val="aff1"/>
        <w:rPr>
          <w:rFonts w:cs="Times New Roman"/>
        </w:rPr>
      </w:pPr>
      <w:r w:rsidRPr="00B35E17">
        <w:rPr>
          <w:rFonts w:cs="Times New Roman"/>
        </w:rPr>
        <w:lastRenderedPageBreak/>
        <w:t>3.</w:t>
      </w:r>
      <w:r w:rsidRPr="00B35E17">
        <w:rPr>
          <w:rFonts w:cs="Times New Roman"/>
        </w:rPr>
        <w:tab/>
        <w:t xml:space="preserve">Rodriques, S. G. </w:t>
      </w:r>
      <w:r w:rsidRPr="00B35E17">
        <w:rPr>
          <w:rFonts w:cs="Times New Roman"/>
          <w:i/>
          <w:iCs/>
        </w:rPr>
        <w:t>et al.</w:t>
      </w:r>
      <w:r w:rsidRPr="00B35E17">
        <w:rPr>
          <w:rFonts w:cs="Times New Roman"/>
        </w:rPr>
        <w:t xml:space="preserve"> Slide-seq: A scalable technology for measuring genome-wide expression at high spatial resolution. </w:t>
      </w:r>
      <w:r w:rsidRPr="00B35E17">
        <w:rPr>
          <w:rFonts w:cs="Times New Roman"/>
          <w:i/>
          <w:iCs/>
        </w:rPr>
        <w:t>Science</w:t>
      </w:r>
      <w:r w:rsidRPr="00B35E17">
        <w:rPr>
          <w:rFonts w:cs="Times New Roman"/>
        </w:rPr>
        <w:t xml:space="preserve"> </w:t>
      </w:r>
      <w:r w:rsidRPr="00B35E17">
        <w:rPr>
          <w:rFonts w:cs="Times New Roman"/>
          <w:b/>
          <w:bCs/>
        </w:rPr>
        <w:t>363</w:t>
      </w:r>
      <w:r w:rsidRPr="00B35E17">
        <w:rPr>
          <w:rFonts w:cs="Times New Roman"/>
        </w:rPr>
        <w:t>, 1463–1467 (2019).</w:t>
      </w:r>
    </w:p>
    <w:p w:rsidR="00B35E17" w:rsidRPr="00B35E17" w:rsidRDefault="00B35E17" w:rsidP="00B35E17">
      <w:pPr>
        <w:pStyle w:val="aff1"/>
        <w:rPr>
          <w:rFonts w:cs="Times New Roman"/>
        </w:rPr>
      </w:pPr>
      <w:r w:rsidRPr="00B35E17">
        <w:rPr>
          <w:rFonts w:cs="Times New Roman"/>
        </w:rPr>
        <w:t>4.</w:t>
      </w:r>
      <w:r w:rsidRPr="00B35E17">
        <w:rPr>
          <w:rFonts w:cs="Times New Roman"/>
        </w:rPr>
        <w:tab/>
        <w:t xml:space="preserve">Stickels, R. R. </w:t>
      </w:r>
      <w:r w:rsidRPr="00B35E17">
        <w:rPr>
          <w:rFonts w:cs="Times New Roman"/>
          <w:i/>
          <w:iCs/>
        </w:rPr>
        <w:t>et al.</w:t>
      </w:r>
      <w:r w:rsidRPr="00B35E17">
        <w:rPr>
          <w:rFonts w:cs="Times New Roman"/>
        </w:rPr>
        <w:t xml:space="preserve"> Highly sensitive spatial transcriptomics at near-cellular resolution with Slide-seqV2. </w:t>
      </w:r>
      <w:r w:rsidRPr="00B35E17">
        <w:rPr>
          <w:rFonts w:cs="Times New Roman"/>
          <w:i/>
          <w:iCs/>
        </w:rPr>
        <w:t>Nat Biotechnol</w:t>
      </w:r>
      <w:r w:rsidRPr="00B35E17">
        <w:rPr>
          <w:rFonts w:cs="Times New Roman"/>
        </w:rPr>
        <w:t xml:space="preserve"> </w:t>
      </w:r>
      <w:r w:rsidRPr="00B35E17">
        <w:rPr>
          <w:rFonts w:cs="Times New Roman"/>
          <w:b/>
          <w:bCs/>
        </w:rPr>
        <w:t>39</w:t>
      </w:r>
      <w:r w:rsidRPr="00B35E17">
        <w:rPr>
          <w:rFonts w:cs="Times New Roman"/>
        </w:rPr>
        <w:t>, 313–319 (2021).</w:t>
      </w:r>
    </w:p>
    <w:p w:rsidR="00B35E17" w:rsidRPr="00B35E17" w:rsidRDefault="00B35E17" w:rsidP="00B35E17">
      <w:pPr>
        <w:pStyle w:val="aff1"/>
        <w:rPr>
          <w:rFonts w:cs="Times New Roman"/>
        </w:rPr>
      </w:pPr>
      <w:r w:rsidRPr="00B35E17">
        <w:rPr>
          <w:rFonts w:cs="Times New Roman"/>
        </w:rPr>
        <w:t>5.</w:t>
      </w:r>
      <w:r w:rsidRPr="00B35E17">
        <w:rPr>
          <w:rFonts w:cs="Times New Roman"/>
        </w:rPr>
        <w:tab/>
        <w:t xml:space="preserve">Chen, K. H., Boettiger, A. N., Moffitt, J. R., Wang, S. &amp; Zhuang, X. Spatially resolved, highly multiplexed RNA profiling in single cells. </w:t>
      </w:r>
      <w:r w:rsidRPr="00B35E17">
        <w:rPr>
          <w:rFonts w:cs="Times New Roman"/>
          <w:i/>
          <w:iCs/>
        </w:rPr>
        <w:t>Science</w:t>
      </w:r>
      <w:r w:rsidRPr="00B35E17">
        <w:rPr>
          <w:rFonts w:cs="Times New Roman"/>
        </w:rPr>
        <w:t xml:space="preserve"> </w:t>
      </w:r>
      <w:r w:rsidRPr="00B35E17">
        <w:rPr>
          <w:rFonts w:cs="Times New Roman"/>
          <w:b/>
          <w:bCs/>
        </w:rPr>
        <w:t>348</w:t>
      </w:r>
      <w:r w:rsidRPr="00B35E17">
        <w:rPr>
          <w:rFonts w:cs="Times New Roman"/>
        </w:rPr>
        <w:t>, aaa6090 (2015).</w:t>
      </w:r>
    </w:p>
    <w:p w:rsidR="00B35E17" w:rsidRPr="00B35E17" w:rsidRDefault="00B35E17" w:rsidP="00B35E17">
      <w:pPr>
        <w:pStyle w:val="aff1"/>
        <w:rPr>
          <w:rFonts w:cs="Times New Roman"/>
        </w:rPr>
      </w:pPr>
      <w:r w:rsidRPr="00B35E17">
        <w:rPr>
          <w:rFonts w:cs="Times New Roman"/>
        </w:rPr>
        <w:t>6.</w:t>
      </w:r>
      <w:r w:rsidRPr="00B35E17">
        <w:rPr>
          <w:rFonts w:cs="Times New Roman"/>
        </w:rPr>
        <w:tab/>
        <w:t xml:space="preserve">He, S. </w:t>
      </w:r>
      <w:r w:rsidRPr="00B35E17">
        <w:rPr>
          <w:rFonts w:cs="Times New Roman"/>
          <w:i/>
          <w:iCs/>
        </w:rPr>
        <w:t>et al.</w:t>
      </w:r>
      <w:r w:rsidRPr="00B35E17">
        <w:rPr>
          <w:rFonts w:cs="Times New Roman"/>
        </w:rPr>
        <w:t xml:space="preserve"> High-plex imaging of RNA and proteins at subcellular resolution in fixed tissue by spatial molecular imaging. </w:t>
      </w:r>
      <w:r w:rsidRPr="00B35E17">
        <w:rPr>
          <w:rFonts w:cs="Times New Roman"/>
          <w:i/>
          <w:iCs/>
        </w:rPr>
        <w:t>Nat Biotechnol</w:t>
      </w:r>
      <w:r w:rsidRPr="00B35E17">
        <w:rPr>
          <w:rFonts w:cs="Times New Roman"/>
        </w:rPr>
        <w:t xml:space="preserve"> </w:t>
      </w:r>
      <w:r w:rsidRPr="00B35E17">
        <w:rPr>
          <w:rFonts w:cs="Times New Roman"/>
          <w:b/>
          <w:bCs/>
        </w:rPr>
        <w:t>40</w:t>
      </w:r>
      <w:r w:rsidRPr="00B35E17">
        <w:rPr>
          <w:rFonts w:cs="Times New Roman"/>
        </w:rPr>
        <w:t>, 1794–1806 (2022).</w:t>
      </w:r>
    </w:p>
    <w:p w:rsidR="00B35E17" w:rsidRPr="00B35E17" w:rsidRDefault="00B35E17" w:rsidP="00B35E17">
      <w:pPr>
        <w:pStyle w:val="aff1"/>
        <w:rPr>
          <w:rFonts w:cs="Times New Roman"/>
        </w:rPr>
      </w:pPr>
      <w:r w:rsidRPr="00B35E17">
        <w:rPr>
          <w:rFonts w:cs="Times New Roman"/>
        </w:rPr>
        <w:t>7.</w:t>
      </w:r>
      <w:r w:rsidRPr="00B35E17">
        <w:rPr>
          <w:rFonts w:cs="Times New Roman"/>
        </w:rPr>
        <w:tab/>
        <w:t xml:space="preserve">Liu, Y. </w:t>
      </w:r>
      <w:r w:rsidRPr="00B35E17">
        <w:rPr>
          <w:rFonts w:cs="Times New Roman"/>
          <w:i/>
          <w:iCs/>
        </w:rPr>
        <w:t>et al.</w:t>
      </w:r>
      <w:r w:rsidRPr="00B35E17">
        <w:rPr>
          <w:rFonts w:cs="Times New Roman"/>
        </w:rPr>
        <w:t xml:space="preserve"> High-Spatial-Resolution Multi-Omics Sequencing via Deterministic Barcoding in Tissue. </w:t>
      </w:r>
      <w:r w:rsidRPr="00B35E17">
        <w:rPr>
          <w:rFonts w:cs="Times New Roman"/>
          <w:i/>
          <w:iCs/>
        </w:rPr>
        <w:t>Cell</w:t>
      </w:r>
      <w:r w:rsidRPr="00B35E17">
        <w:rPr>
          <w:rFonts w:cs="Times New Roman"/>
        </w:rPr>
        <w:t xml:space="preserve"> </w:t>
      </w:r>
      <w:r w:rsidRPr="00B35E17">
        <w:rPr>
          <w:rFonts w:cs="Times New Roman"/>
          <w:b/>
          <w:bCs/>
        </w:rPr>
        <w:t>183</w:t>
      </w:r>
      <w:r w:rsidRPr="00B35E17">
        <w:rPr>
          <w:rFonts w:cs="Times New Roman"/>
        </w:rPr>
        <w:t>, 1665-1681.e18 (2020).</w:t>
      </w:r>
    </w:p>
    <w:p w:rsidR="00B35E17" w:rsidRPr="00B35E17" w:rsidRDefault="00B35E17" w:rsidP="00B35E17">
      <w:pPr>
        <w:pStyle w:val="aff1"/>
        <w:rPr>
          <w:rFonts w:cs="Times New Roman"/>
        </w:rPr>
      </w:pPr>
      <w:r w:rsidRPr="00B35E17">
        <w:rPr>
          <w:rFonts w:cs="Times New Roman"/>
        </w:rPr>
        <w:t>8.</w:t>
      </w:r>
      <w:r w:rsidRPr="00B35E17">
        <w:rPr>
          <w:rFonts w:cs="Times New Roman"/>
        </w:rPr>
        <w:tab/>
        <w:t xml:space="preserve">Bergenstråhle, J., Larsson, L. &amp; Lundeberg, J. Seamless integration of image and molecular analysis for spatial transcriptomics workflows. </w:t>
      </w:r>
      <w:r w:rsidRPr="00B35E17">
        <w:rPr>
          <w:rFonts w:cs="Times New Roman"/>
          <w:i/>
          <w:iCs/>
        </w:rPr>
        <w:t>BMC Genomics</w:t>
      </w:r>
      <w:r w:rsidRPr="00B35E17">
        <w:rPr>
          <w:rFonts w:cs="Times New Roman"/>
        </w:rPr>
        <w:t xml:space="preserve"> </w:t>
      </w:r>
      <w:r w:rsidRPr="00B35E17">
        <w:rPr>
          <w:rFonts w:cs="Times New Roman"/>
          <w:b/>
          <w:bCs/>
        </w:rPr>
        <w:t>21</w:t>
      </w:r>
      <w:r w:rsidRPr="00B35E17">
        <w:rPr>
          <w:rFonts w:cs="Times New Roman"/>
        </w:rPr>
        <w:t>, 482 (2020).</w:t>
      </w:r>
    </w:p>
    <w:p w:rsidR="00B35E17" w:rsidRPr="00B35E17" w:rsidRDefault="00B35E17" w:rsidP="00B35E17">
      <w:pPr>
        <w:pStyle w:val="aff1"/>
        <w:rPr>
          <w:rFonts w:cs="Times New Roman"/>
        </w:rPr>
      </w:pPr>
      <w:r w:rsidRPr="00B35E17">
        <w:rPr>
          <w:rFonts w:cs="Times New Roman"/>
        </w:rPr>
        <w:t>9.</w:t>
      </w:r>
      <w:r w:rsidRPr="00B35E17">
        <w:rPr>
          <w:rFonts w:cs="Times New Roman"/>
        </w:rPr>
        <w:tab/>
        <w:t xml:space="preserve">McInnes, L., Healy, J., Saul, N. &amp; Großberger, L. UMAP: Uniform Manifold Approximation and Projection. </w:t>
      </w:r>
      <w:r w:rsidRPr="00B35E17">
        <w:rPr>
          <w:rFonts w:cs="Times New Roman"/>
          <w:i/>
          <w:iCs/>
        </w:rPr>
        <w:t>JOSS</w:t>
      </w:r>
      <w:r w:rsidRPr="00B35E17">
        <w:rPr>
          <w:rFonts w:cs="Times New Roman"/>
        </w:rPr>
        <w:t xml:space="preserve"> </w:t>
      </w:r>
      <w:r w:rsidRPr="00B35E17">
        <w:rPr>
          <w:rFonts w:cs="Times New Roman"/>
          <w:b/>
          <w:bCs/>
        </w:rPr>
        <w:t>3</w:t>
      </w:r>
      <w:r w:rsidRPr="00B35E17">
        <w:rPr>
          <w:rFonts w:cs="Times New Roman"/>
        </w:rPr>
        <w:t>, 861 (2018).</w:t>
      </w:r>
    </w:p>
    <w:p w:rsidR="00B35E17" w:rsidRPr="00B35E17" w:rsidRDefault="00B35E17" w:rsidP="00B35E17">
      <w:pPr>
        <w:pStyle w:val="aff1"/>
        <w:rPr>
          <w:rFonts w:cs="Times New Roman"/>
        </w:rPr>
      </w:pPr>
      <w:r w:rsidRPr="00B35E17">
        <w:rPr>
          <w:rFonts w:cs="Times New Roman"/>
        </w:rPr>
        <w:t>10.</w:t>
      </w:r>
      <w:r w:rsidRPr="00B35E17">
        <w:rPr>
          <w:rFonts w:cs="Times New Roman"/>
        </w:rPr>
        <w:tab/>
        <w:t xml:space="preserve">Laurens, V. D. M. &amp; Hinton, G. Visualizing Data using t-SNE. </w:t>
      </w:r>
      <w:r w:rsidRPr="00B35E17">
        <w:rPr>
          <w:rFonts w:cs="Times New Roman"/>
          <w:i/>
          <w:iCs/>
        </w:rPr>
        <w:t>Journal of Machine Learning Research</w:t>
      </w:r>
      <w:r w:rsidRPr="00B35E17">
        <w:rPr>
          <w:rFonts w:cs="Times New Roman"/>
        </w:rPr>
        <w:t xml:space="preserve"> </w:t>
      </w:r>
      <w:r w:rsidRPr="00B35E17">
        <w:rPr>
          <w:rFonts w:cs="Times New Roman"/>
          <w:b/>
          <w:bCs/>
        </w:rPr>
        <w:t>9</w:t>
      </w:r>
      <w:r w:rsidRPr="00B35E17">
        <w:rPr>
          <w:rFonts w:cs="Times New Roman"/>
        </w:rPr>
        <w:t>, 2579–2605 (2008).</w:t>
      </w:r>
    </w:p>
    <w:p w:rsidR="00B35E17" w:rsidRPr="00B35E17" w:rsidRDefault="00B35E17" w:rsidP="00B35E17">
      <w:pPr>
        <w:pStyle w:val="aff1"/>
        <w:rPr>
          <w:rFonts w:cs="Times New Roman"/>
        </w:rPr>
      </w:pPr>
      <w:r w:rsidRPr="00B35E17">
        <w:rPr>
          <w:rFonts w:cs="Times New Roman"/>
        </w:rPr>
        <w:t>11.</w:t>
      </w:r>
      <w:r w:rsidRPr="00B35E17">
        <w:rPr>
          <w:rFonts w:cs="Times New Roman"/>
        </w:rPr>
        <w:tab/>
        <w:t xml:space="preserve">Moon, K. R. </w:t>
      </w:r>
      <w:r w:rsidRPr="00B35E17">
        <w:rPr>
          <w:rFonts w:cs="Times New Roman"/>
          <w:i/>
          <w:iCs/>
        </w:rPr>
        <w:t>et al.</w:t>
      </w:r>
      <w:r w:rsidRPr="00B35E17">
        <w:rPr>
          <w:rFonts w:cs="Times New Roman"/>
        </w:rPr>
        <w:t xml:space="preserve"> Visualizing structure and transitions in high-dimensional biological data. </w:t>
      </w:r>
      <w:r w:rsidRPr="00B35E17">
        <w:rPr>
          <w:rFonts w:cs="Times New Roman"/>
          <w:i/>
          <w:iCs/>
        </w:rPr>
        <w:t>Nat Biotechnol</w:t>
      </w:r>
      <w:r w:rsidRPr="00B35E17">
        <w:rPr>
          <w:rFonts w:cs="Times New Roman"/>
        </w:rPr>
        <w:t xml:space="preserve"> </w:t>
      </w:r>
      <w:r w:rsidRPr="00B35E17">
        <w:rPr>
          <w:rFonts w:cs="Times New Roman"/>
          <w:b/>
          <w:bCs/>
        </w:rPr>
        <w:t>37</w:t>
      </w:r>
      <w:r w:rsidRPr="00B35E17">
        <w:rPr>
          <w:rFonts w:cs="Times New Roman"/>
        </w:rPr>
        <w:t>, 1482–1492 (2019).</w:t>
      </w:r>
    </w:p>
    <w:p w:rsidR="00B35E17" w:rsidRPr="00B35E17" w:rsidRDefault="00B35E17" w:rsidP="00B35E17">
      <w:pPr>
        <w:pStyle w:val="aff1"/>
        <w:rPr>
          <w:rFonts w:cs="Times New Roman"/>
        </w:rPr>
      </w:pPr>
      <w:r w:rsidRPr="00B35E17">
        <w:rPr>
          <w:rFonts w:cs="Times New Roman"/>
        </w:rPr>
        <w:t>12.</w:t>
      </w:r>
      <w:r w:rsidRPr="00B35E17">
        <w:rPr>
          <w:rFonts w:cs="Times New Roman"/>
        </w:rPr>
        <w:tab/>
        <w:t xml:space="preserve">Kobak, D. &amp; Berens, P. The art of using t-SNE for single-cell transcriptomics. </w:t>
      </w:r>
      <w:r w:rsidRPr="00B35E17">
        <w:rPr>
          <w:rFonts w:cs="Times New Roman"/>
          <w:i/>
          <w:iCs/>
        </w:rPr>
        <w:t>Nat Commun</w:t>
      </w:r>
      <w:r w:rsidRPr="00B35E17">
        <w:rPr>
          <w:rFonts w:cs="Times New Roman"/>
        </w:rPr>
        <w:t xml:space="preserve"> </w:t>
      </w:r>
      <w:r w:rsidRPr="00B35E17">
        <w:rPr>
          <w:rFonts w:cs="Times New Roman"/>
          <w:b/>
          <w:bCs/>
        </w:rPr>
        <w:t>10</w:t>
      </w:r>
      <w:r w:rsidRPr="00B35E17">
        <w:rPr>
          <w:rFonts w:cs="Times New Roman"/>
        </w:rPr>
        <w:t>, 5416 (2019).</w:t>
      </w:r>
    </w:p>
    <w:p w:rsidR="00B35E17" w:rsidRPr="00B35E17" w:rsidRDefault="00B35E17" w:rsidP="00B35E17">
      <w:pPr>
        <w:pStyle w:val="aff1"/>
        <w:rPr>
          <w:rFonts w:cs="Times New Roman"/>
        </w:rPr>
      </w:pPr>
      <w:r w:rsidRPr="00B35E17">
        <w:rPr>
          <w:rFonts w:cs="Times New Roman"/>
        </w:rPr>
        <w:t>13.</w:t>
      </w:r>
      <w:r w:rsidRPr="00B35E17">
        <w:rPr>
          <w:rFonts w:cs="Times New Roman"/>
        </w:rPr>
        <w:tab/>
        <w:t xml:space="preserve">Biancalani, T. </w:t>
      </w:r>
      <w:r w:rsidRPr="00B35E17">
        <w:rPr>
          <w:rFonts w:cs="Times New Roman"/>
          <w:i/>
          <w:iCs/>
        </w:rPr>
        <w:t>et al.</w:t>
      </w:r>
      <w:r w:rsidRPr="00B35E17">
        <w:rPr>
          <w:rFonts w:cs="Times New Roman"/>
        </w:rPr>
        <w:t xml:space="preserve"> Deep learning and alignment of spatially resolved single-cell transcriptomes with Tangram. </w:t>
      </w:r>
      <w:r w:rsidRPr="00B35E17">
        <w:rPr>
          <w:rFonts w:cs="Times New Roman"/>
          <w:i/>
          <w:iCs/>
        </w:rPr>
        <w:t>Nat Methods</w:t>
      </w:r>
      <w:r w:rsidRPr="00B35E17">
        <w:rPr>
          <w:rFonts w:cs="Times New Roman"/>
        </w:rPr>
        <w:t xml:space="preserve"> </w:t>
      </w:r>
      <w:r w:rsidRPr="00B35E17">
        <w:rPr>
          <w:rFonts w:cs="Times New Roman"/>
          <w:b/>
          <w:bCs/>
        </w:rPr>
        <w:t>18</w:t>
      </w:r>
      <w:r w:rsidRPr="00B35E17">
        <w:rPr>
          <w:rFonts w:cs="Times New Roman"/>
        </w:rPr>
        <w:t>, 1352–1362 (2021).</w:t>
      </w:r>
    </w:p>
    <w:p w:rsidR="00B35E17" w:rsidRPr="00B35E17" w:rsidRDefault="00B35E17" w:rsidP="00B35E17">
      <w:pPr>
        <w:pStyle w:val="aff1"/>
        <w:rPr>
          <w:rFonts w:cs="Times New Roman"/>
        </w:rPr>
      </w:pPr>
      <w:r w:rsidRPr="00B35E17">
        <w:rPr>
          <w:rFonts w:cs="Times New Roman"/>
        </w:rPr>
        <w:t>14.</w:t>
      </w:r>
      <w:r w:rsidRPr="00B35E17">
        <w:rPr>
          <w:rFonts w:cs="Times New Roman"/>
        </w:rPr>
        <w:tab/>
        <w:t xml:space="preserve">Zhao, E. </w:t>
      </w:r>
      <w:r w:rsidRPr="00B35E17">
        <w:rPr>
          <w:rFonts w:cs="Times New Roman"/>
          <w:i/>
          <w:iCs/>
        </w:rPr>
        <w:t>et al.</w:t>
      </w:r>
      <w:r w:rsidRPr="00B35E17">
        <w:rPr>
          <w:rFonts w:cs="Times New Roman"/>
        </w:rPr>
        <w:t xml:space="preserve"> Spatial transcriptomics at subspot resolution with BayesSpace. </w:t>
      </w:r>
      <w:r w:rsidRPr="00B35E17">
        <w:rPr>
          <w:rFonts w:cs="Times New Roman"/>
          <w:i/>
          <w:iCs/>
        </w:rPr>
        <w:t>Nat Biotechnol</w:t>
      </w:r>
      <w:r w:rsidRPr="00B35E17">
        <w:rPr>
          <w:rFonts w:cs="Times New Roman"/>
        </w:rPr>
        <w:t xml:space="preserve"> </w:t>
      </w:r>
      <w:r w:rsidRPr="00B35E17">
        <w:rPr>
          <w:rFonts w:cs="Times New Roman"/>
          <w:b/>
          <w:bCs/>
        </w:rPr>
        <w:t>39</w:t>
      </w:r>
      <w:r w:rsidRPr="00B35E17">
        <w:rPr>
          <w:rFonts w:cs="Times New Roman"/>
        </w:rPr>
        <w:t>, 1375–1384 (2021).</w:t>
      </w:r>
    </w:p>
    <w:p w:rsidR="00B35E17" w:rsidRPr="00B35E17" w:rsidRDefault="00B35E17" w:rsidP="00B35E17">
      <w:pPr>
        <w:pStyle w:val="aff1"/>
        <w:rPr>
          <w:rFonts w:cs="Times New Roman"/>
        </w:rPr>
      </w:pPr>
      <w:r w:rsidRPr="00B35E17">
        <w:rPr>
          <w:rFonts w:cs="Times New Roman"/>
        </w:rPr>
        <w:lastRenderedPageBreak/>
        <w:t>15.</w:t>
      </w:r>
      <w:r w:rsidRPr="00B35E17">
        <w:rPr>
          <w:rFonts w:cs="Times New Roman"/>
        </w:rPr>
        <w:tab/>
        <w:t xml:space="preserve">Sarkar, R. Low Distortion Delaunay Embedding of Trees in Hyperbolic Plane. in </w:t>
      </w:r>
      <w:r w:rsidRPr="00B35E17">
        <w:rPr>
          <w:rFonts w:cs="Times New Roman"/>
          <w:i/>
          <w:iCs/>
        </w:rPr>
        <w:t>Graph Drawing</w:t>
      </w:r>
      <w:r w:rsidRPr="00B35E17">
        <w:rPr>
          <w:rFonts w:cs="Times New Roman"/>
        </w:rPr>
        <w:t xml:space="preserve"> (eds Van Kreveld, M. &amp; Speckmann, B.) vol. 7034 355–366 (Springer Berlin Heidelberg, Berlin, Heidelberg, 2012).</w:t>
      </w:r>
    </w:p>
    <w:p w:rsidR="00B35E17" w:rsidRPr="00B35E17" w:rsidRDefault="00B35E17" w:rsidP="00B35E17">
      <w:pPr>
        <w:pStyle w:val="aff1"/>
        <w:rPr>
          <w:rFonts w:cs="Times New Roman"/>
        </w:rPr>
      </w:pPr>
      <w:r w:rsidRPr="00B35E17">
        <w:rPr>
          <w:rFonts w:cs="Times New Roman"/>
        </w:rPr>
        <w:t>16.</w:t>
      </w:r>
      <w:r w:rsidRPr="00B35E17">
        <w:rPr>
          <w:rFonts w:cs="Times New Roman"/>
        </w:rPr>
        <w:tab/>
        <w:t xml:space="preserve">Matoušek, J. On the distortion required for embedding finite metric spaces into normed spaces. </w:t>
      </w:r>
      <w:r w:rsidRPr="00B35E17">
        <w:rPr>
          <w:rFonts w:cs="Times New Roman"/>
          <w:i/>
          <w:iCs/>
        </w:rPr>
        <w:t>Israel J. Math.</w:t>
      </w:r>
      <w:r w:rsidRPr="00B35E17">
        <w:rPr>
          <w:rFonts w:cs="Times New Roman"/>
        </w:rPr>
        <w:t xml:space="preserve"> </w:t>
      </w:r>
      <w:r w:rsidRPr="00B35E17">
        <w:rPr>
          <w:rFonts w:cs="Times New Roman"/>
          <w:b/>
          <w:bCs/>
        </w:rPr>
        <w:t>93</w:t>
      </w:r>
      <w:r w:rsidRPr="00B35E17">
        <w:rPr>
          <w:rFonts w:cs="Times New Roman"/>
        </w:rPr>
        <w:t>, 333–344 (1996).</w:t>
      </w:r>
    </w:p>
    <w:p w:rsidR="00B35E17" w:rsidRPr="00B35E17" w:rsidRDefault="00B35E17" w:rsidP="00B35E17">
      <w:pPr>
        <w:pStyle w:val="aff1"/>
        <w:rPr>
          <w:rFonts w:cs="Times New Roman"/>
        </w:rPr>
      </w:pPr>
      <w:r w:rsidRPr="00B35E17">
        <w:rPr>
          <w:rFonts w:cs="Times New Roman"/>
        </w:rPr>
        <w:t>17.</w:t>
      </w:r>
      <w:r w:rsidRPr="00B35E17">
        <w:rPr>
          <w:rFonts w:cs="Times New Roman"/>
        </w:rPr>
        <w:tab/>
        <w:t>Nickel, M. &amp; Kiela, D. Poincaré Embeddings for Learning Hierarchical Representations. Preprint at https://doi.org/10.48550/arXiv.1705.08039 (2017).</w:t>
      </w:r>
    </w:p>
    <w:p w:rsidR="00B35E17" w:rsidRPr="00B35E17" w:rsidRDefault="00B35E17" w:rsidP="00B35E17">
      <w:pPr>
        <w:pStyle w:val="aff1"/>
        <w:rPr>
          <w:rFonts w:cs="Times New Roman"/>
        </w:rPr>
      </w:pPr>
      <w:r w:rsidRPr="00B35E17">
        <w:rPr>
          <w:rFonts w:cs="Times New Roman"/>
        </w:rPr>
        <w:t>18.</w:t>
      </w:r>
      <w:r w:rsidRPr="00B35E17">
        <w:rPr>
          <w:rFonts w:cs="Times New Roman"/>
        </w:rPr>
        <w:tab/>
        <w:t xml:space="preserve">Muscoloni, A., Thomas, J. M., Ciucci, S., Bianconi, G. &amp; Cannistraci, C. V. Machine learning meets complex networks via coalescent embedding in the hyperbolic space. </w:t>
      </w:r>
      <w:r w:rsidRPr="00B35E17">
        <w:rPr>
          <w:rFonts w:cs="Times New Roman"/>
          <w:i/>
          <w:iCs/>
        </w:rPr>
        <w:t>Nat Commun</w:t>
      </w:r>
      <w:r w:rsidRPr="00B35E17">
        <w:rPr>
          <w:rFonts w:cs="Times New Roman"/>
        </w:rPr>
        <w:t xml:space="preserve"> </w:t>
      </w:r>
      <w:r w:rsidRPr="00B35E17">
        <w:rPr>
          <w:rFonts w:cs="Times New Roman"/>
          <w:b/>
          <w:bCs/>
        </w:rPr>
        <w:t>8</w:t>
      </w:r>
      <w:r w:rsidRPr="00B35E17">
        <w:rPr>
          <w:rFonts w:cs="Times New Roman"/>
        </w:rPr>
        <w:t>, 1615 (2017).</w:t>
      </w:r>
    </w:p>
    <w:p w:rsidR="00B35E17" w:rsidRPr="00B35E17" w:rsidRDefault="00B35E17" w:rsidP="00B35E17">
      <w:pPr>
        <w:pStyle w:val="aff1"/>
        <w:rPr>
          <w:rFonts w:cs="Times New Roman"/>
        </w:rPr>
      </w:pPr>
      <w:r w:rsidRPr="00B35E17">
        <w:rPr>
          <w:rFonts w:cs="Times New Roman"/>
        </w:rPr>
        <w:t>19.</w:t>
      </w:r>
      <w:r w:rsidRPr="00B35E17">
        <w:rPr>
          <w:rFonts w:cs="Times New Roman"/>
        </w:rPr>
        <w:tab/>
        <w:t>Bécigneul, G. &amp; Ganea, O.-E. Riemannian Adaptive Optimization Methods. Preprint at https://doi.org/10.48550/ARXIV.1810.00760 (2018).</w:t>
      </w:r>
    </w:p>
    <w:p w:rsidR="00B35E17" w:rsidRPr="00B35E17" w:rsidRDefault="00B35E17" w:rsidP="00B35E17">
      <w:pPr>
        <w:pStyle w:val="aff1"/>
        <w:rPr>
          <w:rFonts w:cs="Times New Roman"/>
        </w:rPr>
      </w:pPr>
      <w:r w:rsidRPr="00B35E17">
        <w:rPr>
          <w:rFonts w:cs="Times New Roman"/>
        </w:rPr>
        <w:t>20.</w:t>
      </w:r>
      <w:r w:rsidRPr="00B35E17">
        <w:rPr>
          <w:rFonts w:cs="Times New Roman"/>
        </w:rPr>
        <w:tab/>
        <w:t xml:space="preserve">Lee, S. H. </w:t>
      </w:r>
      <w:r w:rsidRPr="00B35E17">
        <w:rPr>
          <w:rFonts w:cs="Times New Roman"/>
          <w:i/>
          <w:iCs/>
        </w:rPr>
        <w:t>et al.</w:t>
      </w:r>
      <w:r w:rsidRPr="00B35E17">
        <w:rPr>
          <w:rFonts w:cs="Times New Roman"/>
        </w:rPr>
        <w:t xml:space="preserve"> Spatial dissection of tumour microenvironments in gastric cancers reveals the immunosuppressive crosstalk between CCL2+ fibroblasts and STAT3-activated macrophages. </w:t>
      </w:r>
      <w:r w:rsidRPr="00B35E17">
        <w:rPr>
          <w:rFonts w:cs="Times New Roman"/>
          <w:i/>
          <w:iCs/>
        </w:rPr>
        <w:t>Gut</w:t>
      </w:r>
      <w:r w:rsidRPr="00B35E17">
        <w:rPr>
          <w:rFonts w:cs="Times New Roman"/>
        </w:rPr>
        <w:t xml:space="preserve"> </w:t>
      </w:r>
      <w:r w:rsidRPr="00B35E17">
        <w:rPr>
          <w:rFonts w:cs="Times New Roman"/>
          <w:b/>
          <w:bCs/>
        </w:rPr>
        <w:t>74</w:t>
      </w:r>
      <w:r w:rsidRPr="00B35E17">
        <w:rPr>
          <w:rFonts w:cs="Times New Roman"/>
        </w:rPr>
        <w:t>, 714–727 (2025).</w:t>
      </w:r>
    </w:p>
    <w:p w:rsidR="00B35E17" w:rsidRPr="00B35E17" w:rsidRDefault="00B35E17" w:rsidP="00B35E17">
      <w:pPr>
        <w:pStyle w:val="aff1"/>
        <w:rPr>
          <w:rFonts w:cs="Times New Roman"/>
        </w:rPr>
      </w:pPr>
      <w:r w:rsidRPr="00B35E17">
        <w:rPr>
          <w:rFonts w:cs="Times New Roman"/>
        </w:rPr>
        <w:t>21.</w:t>
      </w:r>
      <w:r w:rsidRPr="00B35E17">
        <w:rPr>
          <w:rFonts w:cs="Times New Roman"/>
        </w:rPr>
        <w:tab/>
        <w:t xml:space="preserve">Keren, L. </w:t>
      </w:r>
      <w:r w:rsidRPr="00B35E17">
        <w:rPr>
          <w:rFonts w:cs="Times New Roman"/>
          <w:i/>
          <w:iCs/>
        </w:rPr>
        <w:t>et al.</w:t>
      </w:r>
      <w:r w:rsidRPr="00B35E17">
        <w:rPr>
          <w:rFonts w:cs="Times New Roman"/>
        </w:rPr>
        <w:t xml:space="preserve"> A Structured Tumor-Immune Microenvironment in Triple Negative Breast Cancer Revealed by Multiplexed Ion Beam Imaging. </w:t>
      </w:r>
      <w:r w:rsidRPr="00B35E17">
        <w:rPr>
          <w:rFonts w:cs="Times New Roman"/>
          <w:i/>
          <w:iCs/>
        </w:rPr>
        <w:t>Cell</w:t>
      </w:r>
      <w:r w:rsidRPr="00B35E17">
        <w:rPr>
          <w:rFonts w:cs="Times New Roman"/>
        </w:rPr>
        <w:t xml:space="preserve"> </w:t>
      </w:r>
      <w:r w:rsidRPr="00B35E17">
        <w:rPr>
          <w:rFonts w:cs="Times New Roman"/>
          <w:b/>
          <w:bCs/>
        </w:rPr>
        <w:t>174</w:t>
      </w:r>
      <w:r w:rsidRPr="00B35E17">
        <w:rPr>
          <w:rFonts w:cs="Times New Roman"/>
        </w:rPr>
        <w:t>, 1373-1387.e19 (2018).</w:t>
      </w:r>
    </w:p>
    <w:p w:rsidR="00B35E17" w:rsidRPr="00B35E17" w:rsidRDefault="00B35E17" w:rsidP="00B35E17">
      <w:pPr>
        <w:pStyle w:val="aff1"/>
        <w:rPr>
          <w:rFonts w:cs="Times New Roman"/>
        </w:rPr>
      </w:pPr>
      <w:r w:rsidRPr="00B35E17">
        <w:rPr>
          <w:rFonts w:cs="Times New Roman"/>
        </w:rPr>
        <w:t>22.</w:t>
      </w:r>
      <w:r w:rsidRPr="00B35E17">
        <w:rPr>
          <w:rFonts w:cs="Times New Roman"/>
        </w:rPr>
        <w:tab/>
        <w:t xml:space="preserve">Joyce, J. A. &amp; Fearon, D. T. T cell exclusion, immune privilege, and the tumor microenvironment. </w:t>
      </w:r>
      <w:r w:rsidRPr="00B35E17">
        <w:rPr>
          <w:rFonts w:cs="Times New Roman"/>
          <w:i/>
          <w:iCs/>
        </w:rPr>
        <w:t>Science</w:t>
      </w:r>
      <w:r w:rsidRPr="00B35E17">
        <w:rPr>
          <w:rFonts w:cs="Times New Roman"/>
        </w:rPr>
        <w:t xml:space="preserve"> </w:t>
      </w:r>
      <w:r w:rsidRPr="00B35E17">
        <w:rPr>
          <w:rFonts w:cs="Times New Roman"/>
          <w:b/>
          <w:bCs/>
        </w:rPr>
        <w:t>348</w:t>
      </w:r>
      <w:r w:rsidRPr="00B35E17">
        <w:rPr>
          <w:rFonts w:cs="Times New Roman"/>
        </w:rPr>
        <w:t>, 74–80 (2015).</w:t>
      </w:r>
    </w:p>
    <w:p w:rsidR="00B35E17" w:rsidRPr="00B35E17" w:rsidRDefault="00B35E17" w:rsidP="00B35E17">
      <w:pPr>
        <w:pStyle w:val="aff1"/>
        <w:rPr>
          <w:rFonts w:cs="Times New Roman"/>
        </w:rPr>
      </w:pPr>
      <w:r w:rsidRPr="00B35E17">
        <w:rPr>
          <w:rFonts w:cs="Times New Roman"/>
        </w:rPr>
        <w:t>23.</w:t>
      </w:r>
      <w:r w:rsidRPr="00B35E17">
        <w:rPr>
          <w:rFonts w:cs="Times New Roman"/>
        </w:rPr>
        <w:tab/>
        <w:t xml:space="preserve">Dimitrov, D. </w:t>
      </w:r>
      <w:r w:rsidRPr="00B35E17">
        <w:rPr>
          <w:rFonts w:cs="Times New Roman"/>
          <w:i/>
          <w:iCs/>
        </w:rPr>
        <w:t>et al.</w:t>
      </w:r>
      <w:r w:rsidRPr="00B35E17">
        <w:rPr>
          <w:rFonts w:cs="Times New Roman"/>
        </w:rPr>
        <w:t xml:space="preserve"> Comparison of methods and resources for cell-cell communication inference from single-cell RNA-Seq data. </w:t>
      </w:r>
      <w:r w:rsidRPr="00B35E17">
        <w:rPr>
          <w:rFonts w:cs="Times New Roman"/>
          <w:i/>
          <w:iCs/>
        </w:rPr>
        <w:t>Nat Commun</w:t>
      </w:r>
      <w:r w:rsidRPr="00B35E17">
        <w:rPr>
          <w:rFonts w:cs="Times New Roman"/>
        </w:rPr>
        <w:t xml:space="preserve"> </w:t>
      </w:r>
      <w:r w:rsidRPr="00B35E17">
        <w:rPr>
          <w:rFonts w:cs="Times New Roman"/>
          <w:b/>
          <w:bCs/>
        </w:rPr>
        <w:t>13</w:t>
      </w:r>
      <w:r w:rsidRPr="00B35E17">
        <w:rPr>
          <w:rFonts w:cs="Times New Roman"/>
        </w:rPr>
        <w:t>, 3224 (2022).</w:t>
      </w:r>
    </w:p>
    <w:p w:rsidR="00B35E17" w:rsidRPr="00B35E17" w:rsidRDefault="00B35E17" w:rsidP="00B35E17">
      <w:pPr>
        <w:pStyle w:val="aff1"/>
        <w:rPr>
          <w:rFonts w:cs="Times New Roman"/>
        </w:rPr>
      </w:pPr>
      <w:r w:rsidRPr="00B35E17">
        <w:rPr>
          <w:rFonts w:cs="Times New Roman"/>
        </w:rPr>
        <w:t>24.</w:t>
      </w:r>
      <w:r w:rsidRPr="00B35E17">
        <w:rPr>
          <w:rFonts w:cs="Times New Roman"/>
        </w:rPr>
        <w:tab/>
        <w:t xml:space="preserve">Efremova, M., Vento-Tormo, M., Teichmann, S. A. &amp; Vento-Tormo, R. CellPhoneDB: inferring cell–cell communication from combined expression of multi-subunit ligand–receptor complexes. </w:t>
      </w:r>
      <w:r w:rsidRPr="00B35E17">
        <w:rPr>
          <w:rFonts w:cs="Times New Roman"/>
          <w:i/>
          <w:iCs/>
        </w:rPr>
        <w:t>Nat Protoc</w:t>
      </w:r>
      <w:r w:rsidRPr="00B35E17">
        <w:rPr>
          <w:rFonts w:cs="Times New Roman"/>
        </w:rPr>
        <w:t xml:space="preserve"> </w:t>
      </w:r>
      <w:r w:rsidRPr="00B35E17">
        <w:rPr>
          <w:rFonts w:cs="Times New Roman"/>
          <w:b/>
          <w:bCs/>
        </w:rPr>
        <w:t>15</w:t>
      </w:r>
      <w:r w:rsidRPr="00B35E17">
        <w:rPr>
          <w:rFonts w:cs="Times New Roman"/>
        </w:rPr>
        <w:t>, 1484–1506 (2020).</w:t>
      </w:r>
    </w:p>
    <w:p w:rsidR="00B35E17" w:rsidRPr="00B35E17" w:rsidRDefault="00B35E17" w:rsidP="00B35E17">
      <w:pPr>
        <w:pStyle w:val="aff1"/>
        <w:rPr>
          <w:rFonts w:cs="Times New Roman"/>
        </w:rPr>
      </w:pPr>
      <w:r w:rsidRPr="00B35E17">
        <w:rPr>
          <w:rFonts w:cs="Times New Roman"/>
        </w:rPr>
        <w:t>25.</w:t>
      </w:r>
      <w:r w:rsidRPr="00B35E17">
        <w:rPr>
          <w:rFonts w:cs="Times New Roman"/>
        </w:rPr>
        <w:tab/>
        <w:t xml:space="preserve">De Sa, C., Gu, A., Ré, C. &amp; Sala, F. Representation Tradeoffs for Hyperbolic Embeddings. </w:t>
      </w:r>
      <w:r w:rsidRPr="00B35E17">
        <w:rPr>
          <w:rFonts w:cs="Times New Roman"/>
          <w:i/>
          <w:iCs/>
        </w:rPr>
        <w:t>Proc Mach Learn Res</w:t>
      </w:r>
      <w:r w:rsidRPr="00B35E17">
        <w:rPr>
          <w:rFonts w:cs="Times New Roman"/>
        </w:rPr>
        <w:t xml:space="preserve"> </w:t>
      </w:r>
      <w:r w:rsidRPr="00B35E17">
        <w:rPr>
          <w:rFonts w:cs="Times New Roman"/>
          <w:b/>
          <w:bCs/>
        </w:rPr>
        <w:t>80</w:t>
      </w:r>
      <w:r w:rsidRPr="00B35E17">
        <w:rPr>
          <w:rFonts w:cs="Times New Roman"/>
        </w:rPr>
        <w:t>, 4460–4469 (2018).</w:t>
      </w:r>
    </w:p>
    <w:p w:rsidR="00B35E17" w:rsidRPr="00B35E17" w:rsidRDefault="00B35E17" w:rsidP="00B35E17">
      <w:pPr>
        <w:pStyle w:val="aff1"/>
        <w:rPr>
          <w:rFonts w:cs="Times New Roman"/>
        </w:rPr>
      </w:pPr>
      <w:r w:rsidRPr="00B35E17">
        <w:rPr>
          <w:rFonts w:cs="Times New Roman"/>
        </w:rPr>
        <w:lastRenderedPageBreak/>
        <w:t>26.</w:t>
      </w:r>
      <w:r w:rsidRPr="00B35E17">
        <w:rPr>
          <w:rFonts w:cs="Times New Roman"/>
        </w:rPr>
        <w:tab/>
        <w:t xml:space="preserve">Wolf, F. A., Angerer, P. &amp; Theis, F. J. SCANPY: large-scale single-cell gene expression data analysis. </w:t>
      </w:r>
      <w:r w:rsidRPr="00B35E17">
        <w:rPr>
          <w:rFonts w:cs="Times New Roman"/>
          <w:i/>
          <w:iCs/>
        </w:rPr>
        <w:t>Genome Biol</w:t>
      </w:r>
      <w:r w:rsidRPr="00B35E17">
        <w:rPr>
          <w:rFonts w:cs="Times New Roman"/>
        </w:rPr>
        <w:t xml:space="preserve"> </w:t>
      </w:r>
      <w:r w:rsidRPr="00B35E17">
        <w:rPr>
          <w:rFonts w:cs="Times New Roman"/>
          <w:b/>
          <w:bCs/>
        </w:rPr>
        <w:t>19</w:t>
      </w:r>
      <w:r w:rsidRPr="00B35E17">
        <w:rPr>
          <w:rFonts w:cs="Times New Roman"/>
        </w:rPr>
        <w:t>, 15 (2018).</w:t>
      </w:r>
    </w:p>
    <w:p w:rsidR="00B35E17" w:rsidRPr="00B35E17" w:rsidRDefault="00B35E17" w:rsidP="00B35E17">
      <w:pPr>
        <w:pStyle w:val="aff1"/>
        <w:rPr>
          <w:rFonts w:cs="Times New Roman"/>
        </w:rPr>
      </w:pPr>
      <w:r w:rsidRPr="00B35E17">
        <w:rPr>
          <w:rFonts w:cs="Times New Roman"/>
        </w:rPr>
        <w:t>27.</w:t>
      </w:r>
      <w:r w:rsidRPr="00B35E17">
        <w:rPr>
          <w:rFonts w:cs="Times New Roman"/>
        </w:rPr>
        <w:tab/>
        <w:t xml:space="preserve">Torgerson, W. S. Multidimensional Scaling: I. Theory and Method. </w:t>
      </w:r>
      <w:r w:rsidRPr="00B35E17">
        <w:rPr>
          <w:rFonts w:cs="Times New Roman"/>
          <w:i/>
          <w:iCs/>
        </w:rPr>
        <w:t>Psychometrika</w:t>
      </w:r>
      <w:r w:rsidRPr="00B35E17">
        <w:rPr>
          <w:rFonts w:cs="Times New Roman"/>
        </w:rPr>
        <w:t xml:space="preserve"> </w:t>
      </w:r>
      <w:r w:rsidRPr="00B35E17">
        <w:rPr>
          <w:rFonts w:cs="Times New Roman"/>
          <w:b/>
          <w:bCs/>
        </w:rPr>
        <w:t>17</w:t>
      </w:r>
      <w:r w:rsidRPr="00B35E17">
        <w:rPr>
          <w:rFonts w:cs="Times New Roman"/>
        </w:rPr>
        <w:t>, 401–419 (1952).</w:t>
      </w:r>
    </w:p>
    <w:p w:rsidR="00B35E17" w:rsidRPr="00B35E17" w:rsidRDefault="00B35E17" w:rsidP="00B35E17">
      <w:pPr>
        <w:pStyle w:val="aff1"/>
        <w:rPr>
          <w:rFonts w:cs="Times New Roman"/>
        </w:rPr>
      </w:pPr>
      <w:r w:rsidRPr="00B35E17">
        <w:rPr>
          <w:rFonts w:cs="Times New Roman"/>
        </w:rPr>
        <w:t>28.</w:t>
      </w:r>
      <w:r w:rsidRPr="00B35E17">
        <w:rPr>
          <w:rFonts w:cs="Times New Roman"/>
        </w:rPr>
        <w:tab/>
        <w:t xml:space="preserve">Traag, V. A., Waltman, L. &amp; Van Eck, N. J. From Louvain to Leiden: guaranteeing well-connected communities. </w:t>
      </w:r>
      <w:r w:rsidRPr="00B35E17">
        <w:rPr>
          <w:rFonts w:cs="Times New Roman"/>
          <w:i/>
          <w:iCs/>
        </w:rPr>
        <w:t>Sci Rep</w:t>
      </w:r>
      <w:r w:rsidRPr="00B35E17">
        <w:rPr>
          <w:rFonts w:cs="Times New Roman"/>
        </w:rPr>
        <w:t xml:space="preserve"> </w:t>
      </w:r>
      <w:r w:rsidRPr="00B35E17">
        <w:rPr>
          <w:rFonts w:cs="Times New Roman"/>
          <w:b/>
          <w:bCs/>
        </w:rPr>
        <w:t>9</w:t>
      </w:r>
      <w:r w:rsidRPr="00B35E17">
        <w:rPr>
          <w:rFonts w:cs="Times New Roman"/>
        </w:rPr>
        <w:t>, 5233 (2019).</w:t>
      </w:r>
    </w:p>
    <w:p w:rsidR="00B35E17" w:rsidRPr="00B35E17" w:rsidRDefault="00B35E17" w:rsidP="00B35E17">
      <w:pPr>
        <w:pStyle w:val="aff1"/>
        <w:rPr>
          <w:rFonts w:cs="Times New Roman"/>
        </w:rPr>
      </w:pPr>
      <w:r w:rsidRPr="00B35E17">
        <w:rPr>
          <w:rFonts w:cs="Times New Roman"/>
        </w:rPr>
        <w:t>29.</w:t>
      </w:r>
      <w:r w:rsidRPr="00B35E17">
        <w:rPr>
          <w:rFonts w:cs="Times New Roman"/>
        </w:rPr>
        <w:tab/>
        <w:t xml:space="preserve">Palla, G. </w:t>
      </w:r>
      <w:r w:rsidRPr="00B35E17">
        <w:rPr>
          <w:rFonts w:cs="Times New Roman"/>
          <w:i/>
          <w:iCs/>
        </w:rPr>
        <w:t>et al.</w:t>
      </w:r>
      <w:r w:rsidRPr="00B35E17">
        <w:rPr>
          <w:rFonts w:cs="Times New Roman"/>
        </w:rPr>
        <w:t xml:space="preserve"> Squidpy: a scalable framework for spatial omics analysis. </w:t>
      </w:r>
      <w:r w:rsidRPr="00B35E17">
        <w:rPr>
          <w:rFonts w:cs="Times New Roman"/>
          <w:i/>
          <w:iCs/>
        </w:rPr>
        <w:t>Nat Methods</w:t>
      </w:r>
      <w:r w:rsidRPr="00B35E17">
        <w:rPr>
          <w:rFonts w:cs="Times New Roman"/>
        </w:rPr>
        <w:t xml:space="preserve"> </w:t>
      </w:r>
      <w:r w:rsidRPr="00B35E17">
        <w:rPr>
          <w:rFonts w:cs="Times New Roman"/>
          <w:b/>
          <w:bCs/>
        </w:rPr>
        <w:t>19</w:t>
      </w:r>
      <w:r w:rsidRPr="00B35E17">
        <w:rPr>
          <w:rFonts w:cs="Times New Roman"/>
        </w:rPr>
        <w:t>, 171–178 (2022).</w:t>
      </w:r>
    </w:p>
    <w:p w:rsidR="00B35E17" w:rsidRPr="00B35E17" w:rsidRDefault="00B35E17" w:rsidP="00B35E17">
      <w:pPr>
        <w:pStyle w:val="aff1"/>
        <w:rPr>
          <w:rFonts w:cs="Times New Roman"/>
        </w:rPr>
      </w:pPr>
      <w:r w:rsidRPr="00B35E17">
        <w:rPr>
          <w:rFonts w:cs="Times New Roman"/>
        </w:rPr>
        <w:t>30.</w:t>
      </w:r>
      <w:r w:rsidRPr="00B35E17">
        <w:rPr>
          <w:rFonts w:cs="Times New Roman"/>
        </w:rPr>
        <w:tab/>
        <w:t xml:space="preserve">Korsunsky, I. </w:t>
      </w:r>
      <w:r w:rsidRPr="00B35E17">
        <w:rPr>
          <w:rFonts w:cs="Times New Roman"/>
          <w:i/>
          <w:iCs/>
        </w:rPr>
        <w:t>et al.</w:t>
      </w:r>
      <w:r w:rsidRPr="00B35E17">
        <w:rPr>
          <w:rFonts w:cs="Times New Roman"/>
        </w:rPr>
        <w:t xml:space="preserve"> Fast, sensitive and accurate integration of single-cell data with Harmony. </w:t>
      </w:r>
      <w:r w:rsidRPr="00B35E17">
        <w:rPr>
          <w:rFonts w:cs="Times New Roman"/>
          <w:i/>
          <w:iCs/>
        </w:rPr>
        <w:t>Nat Methods</w:t>
      </w:r>
      <w:r w:rsidRPr="00B35E17">
        <w:rPr>
          <w:rFonts w:cs="Times New Roman"/>
        </w:rPr>
        <w:t xml:space="preserve"> </w:t>
      </w:r>
      <w:r w:rsidRPr="00B35E17">
        <w:rPr>
          <w:rFonts w:cs="Times New Roman"/>
          <w:b/>
          <w:bCs/>
        </w:rPr>
        <w:t>16</w:t>
      </w:r>
      <w:r w:rsidRPr="00B35E17">
        <w:rPr>
          <w:rFonts w:cs="Times New Roman"/>
        </w:rPr>
        <w:t>, 1289–1296 (2019).</w:t>
      </w:r>
    </w:p>
    <w:p w:rsidR="00B35E17" w:rsidRPr="00B35E17" w:rsidRDefault="00B35E17" w:rsidP="00B35E17">
      <w:pPr>
        <w:pStyle w:val="aff1"/>
        <w:rPr>
          <w:rFonts w:cs="Times New Roman"/>
        </w:rPr>
      </w:pPr>
      <w:r w:rsidRPr="00B35E17">
        <w:rPr>
          <w:rFonts w:cs="Times New Roman"/>
        </w:rPr>
        <w:t>31.</w:t>
      </w:r>
      <w:r w:rsidRPr="00B35E17">
        <w:rPr>
          <w:rFonts w:cs="Times New Roman"/>
        </w:rPr>
        <w:tab/>
        <w:t xml:space="preserve">Stuart, T. </w:t>
      </w:r>
      <w:r w:rsidRPr="00B35E17">
        <w:rPr>
          <w:rFonts w:cs="Times New Roman"/>
          <w:i/>
          <w:iCs/>
        </w:rPr>
        <w:t>et al.</w:t>
      </w:r>
      <w:r w:rsidRPr="00B35E17">
        <w:rPr>
          <w:rFonts w:cs="Times New Roman"/>
        </w:rPr>
        <w:t xml:space="preserve"> Comprehensive Integration of Single-Cell Data. </w:t>
      </w:r>
      <w:r w:rsidRPr="00B35E17">
        <w:rPr>
          <w:rFonts w:cs="Times New Roman"/>
          <w:i/>
          <w:iCs/>
        </w:rPr>
        <w:t>Cell</w:t>
      </w:r>
      <w:r w:rsidRPr="00B35E17">
        <w:rPr>
          <w:rFonts w:cs="Times New Roman"/>
        </w:rPr>
        <w:t xml:space="preserve"> </w:t>
      </w:r>
      <w:r w:rsidRPr="00B35E17">
        <w:rPr>
          <w:rFonts w:cs="Times New Roman"/>
          <w:b/>
          <w:bCs/>
        </w:rPr>
        <w:t>177</w:t>
      </w:r>
      <w:r w:rsidRPr="00B35E17">
        <w:rPr>
          <w:rFonts w:cs="Times New Roman"/>
        </w:rPr>
        <w:t>, 1888-1902.e21 (2019).</w:t>
      </w:r>
    </w:p>
    <w:p w:rsidR="00B35E17" w:rsidRPr="00B35E17" w:rsidRDefault="00B35E17" w:rsidP="00B35E17">
      <w:pPr>
        <w:pStyle w:val="aff1"/>
        <w:rPr>
          <w:rFonts w:cs="Times New Roman"/>
        </w:rPr>
      </w:pPr>
      <w:r w:rsidRPr="00B35E17">
        <w:rPr>
          <w:rFonts w:cs="Times New Roman"/>
        </w:rPr>
        <w:t>32.</w:t>
      </w:r>
      <w:r w:rsidRPr="00B35E17">
        <w:rPr>
          <w:rFonts w:cs="Times New Roman"/>
        </w:rPr>
        <w:tab/>
        <w:t xml:space="preserve">Dries, R. </w:t>
      </w:r>
      <w:r w:rsidRPr="00B35E17">
        <w:rPr>
          <w:rFonts w:cs="Times New Roman"/>
          <w:i/>
          <w:iCs/>
        </w:rPr>
        <w:t>et al.</w:t>
      </w:r>
      <w:r w:rsidRPr="00B35E17">
        <w:rPr>
          <w:rFonts w:cs="Times New Roman"/>
        </w:rPr>
        <w:t xml:space="preserve"> Giotto: a toolbox for integrative analysis and visualization of spatial expression data. </w:t>
      </w:r>
      <w:r w:rsidRPr="00B35E17">
        <w:rPr>
          <w:rFonts w:cs="Times New Roman"/>
          <w:i/>
          <w:iCs/>
        </w:rPr>
        <w:t>Genome Biol</w:t>
      </w:r>
      <w:r w:rsidRPr="00B35E17">
        <w:rPr>
          <w:rFonts w:cs="Times New Roman"/>
        </w:rPr>
        <w:t xml:space="preserve"> </w:t>
      </w:r>
      <w:r w:rsidRPr="00B35E17">
        <w:rPr>
          <w:rFonts w:cs="Times New Roman"/>
          <w:b/>
          <w:bCs/>
        </w:rPr>
        <w:t>22</w:t>
      </w:r>
      <w:r w:rsidRPr="00B35E17">
        <w:rPr>
          <w:rFonts w:cs="Times New Roman"/>
        </w:rPr>
        <w:t>, 78 (2021).</w:t>
      </w:r>
    </w:p>
    <w:p w:rsidR="00B35E17" w:rsidRPr="00B35E17" w:rsidRDefault="00B35E17" w:rsidP="00B35E17">
      <w:pPr>
        <w:pStyle w:val="aff1"/>
        <w:rPr>
          <w:rFonts w:cs="Times New Roman"/>
        </w:rPr>
      </w:pPr>
      <w:r w:rsidRPr="00B35E17">
        <w:rPr>
          <w:rFonts w:cs="Times New Roman"/>
        </w:rPr>
        <w:t>33.</w:t>
      </w:r>
      <w:r w:rsidRPr="00B35E17">
        <w:rPr>
          <w:rFonts w:cs="Times New Roman"/>
        </w:rPr>
        <w:tab/>
        <w:t xml:space="preserve">Cable, D. M. </w:t>
      </w:r>
      <w:r w:rsidRPr="00B35E17">
        <w:rPr>
          <w:rFonts w:cs="Times New Roman"/>
          <w:i/>
          <w:iCs/>
        </w:rPr>
        <w:t>et al.</w:t>
      </w:r>
      <w:r w:rsidRPr="00B35E17">
        <w:rPr>
          <w:rFonts w:cs="Times New Roman"/>
        </w:rPr>
        <w:t xml:space="preserve"> Robust decomposition of cell type mixtures in spatial transcriptomics. </w:t>
      </w:r>
      <w:r w:rsidRPr="00B35E17">
        <w:rPr>
          <w:rFonts w:cs="Times New Roman"/>
          <w:i/>
          <w:iCs/>
        </w:rPr>
        <w:t>Nat Biotechnol</w:t>
      </w:r>
      <w:r w:rsidRPr="00B35E17">
        <w:rPr>
          <w:rFonts w:cs="Times New Roman"/>
        </w:rPr>
        <w:t xml:space="preserve"> </w:t>
      </w:r>
      <w:r w:rsidRPr="00B35E17">
        <w:rPr>
          <w:rFonts w:cs="Times New Roman"/>
          <w:b/>
          <w:bCs/>
        </w:rPr>
        <w:t>40</w:t>
      </w:r>
      <w:r w:rsidRPr="00B35E17">
        <w:rPr>
          <w:rFonts w:cs="Times New Roman"/>
        </w:rPr>
        <w:t>, 517–526 (2022).</w:t>
      </w:r>
    </w:p>
    <w:p w:rsidR="00B35E17" w:rsidRPr="00B35E17" w:rsidRDefault="00B35E17" w:rsidP="00B35E17">
      <w:r>
        <w:fldChar w:fldCharType="end"/>
      </w:r>
    </w:p>
    <w:p w:rsidR="00FD3080" w:rsidRDefault="007C3393">
      <w:pPr>
        <w:pStyle w:val="1"/>
      </w:pPr>
      <w:r>
        <w:lastRenderedPageBreak/>
        <w:t>Figure Legends</w:t>
      </w:r>
    </w:p>
    <w:p w:rsidR="00FD3080" w:rsidRDefault="00910839">
      <w:pPr>
        <w:jc w:val="center"/>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03.75pt">
            <v:imagedata r:id="rId9" o:title="Figure1"/>
          </v:shape>
        </w:pict>
      </w:r>
    </w:p>
    <w:p w:rsidR="00FD3080" w:rsidRDefault="007C3393">
      <w:pPr>
        <w:spacing w:after="160"/>
      </w:pPr>
      <w:r>
        <w:rPr>
          <w:sz w:val="16"/>
        </w:rPr>
        <w:t xml:space="preserve">Figure 1. </w:t>
      </w:r>
      <w:r>
        <w:rPr>
          <w:sz w:val="16"/>
        </w:rPr>
        <w:t>Poincaré MDS embeds spatial transcriptomics data into hyperbolic space. (a) Poincaré disk embedding of 4,252 gastric cancer Visium spots, colored by K-means cluster (Set2 palette, alpha = 0.6). Degree markers (0°, 90°, 180°, 270°) are shown on the disk bou</w:t>
      </w:r>
      <w:r>
        <w:rPr>
          <w:sz w:val="16"/>
        </w:rPr>
        <w:t xml:space="preserve">ndary; angular position has no analytical significance — only radius encodes hierarchy. (b) Spatial coordinates of the same spots. (c) Density curve of Poincaré radius distribution with boxplot overlay; dashed lines mark median and quartiles (Q1, Q3). (d) </w:t>
      </w:r>
      <w:r>
        <w:rPr>
          <w:sz w:val="16"/>
        </w:rPr>
        <w:t>Cell type signatures on the Poincaré disk (top 30% by module score). (e) Poincaré geodesic distance vs. PCA Euclidean distance with linear regression line (red) and 95% confidence interval (gray band); Pearson r with 95% CI and p-value shown. (f) Algorithm</w:t>
      </w:r>
      <w:r>
        <w:rPr>
          <w:sz w:val="16"/>
        </w:rPr>
        <w:t xml:space="preserve"> schematic: k-NN graph construction → Torgerson scaling initialization → Riemannian Adam optimization.</w:t>
      </w:r>
    </w:p>
    <w:p w:rsidR="00FD3080" w:rsidRDefault="00910839">
      <w:pPr>
        <w:jc w:val="center"/>
      </w:pPr>
      <w:r>
        <w:rPr>
          <w:noProof/>
          <w:lang w:eastAsia="zh-CN"/>
        </w:rPr>
        <w:lastRenderedPageBreak/>
        <w:pict>
          <v:shape id="_x0000_i1026" type="#_x0000_t75" style="width:431.25pt;height:309pt">
            <v:imagedata r:id="rId10" o:title="Figure2"/>
          </v:shape>
        </w:pict>
      </w:r>
    </w:p>
    <w:p w:rsidR="00FD3080" w:rsidRDefault="007C3393">
      <w:pPr>
        <w:spacing w:after="160"/>
      </w:pPr>
      <w:r>
        <w:rPr>
          <w:sz w:val="16"/>
        </w:rPr>
        <w:t xml:space="preserve">Figure 2. Theoretical validation of hyperbolic advantage for hierarchical data. (a) Schematic binary tree (depth = 4). (b) Poincaré MDS embedding of a </w:t>
      </w:r>
      <w:r>
        <w:rPr>
          <w:sz w:val="16"/>
        </w:rPr>
        <w:t>depth-4 tree (16 leaves, 480 points). (c) Euclidean MDS embedding of the same tree. (d) MDS stress vs. tree depth for Poincaré MDS (LOWESS smoothing, blue; log fit dashed) and Euclidean MDS (LOWESS smoothing, red; linear fit dashed). Error bars: 95% CI fro</w:t>
      </w:r>
      <w:r>
        <w:rPr>
          <w:sz w:val="16"/>
        </w:rPr>
        <w:t>m raw data. Crossover at depth 4. Spearman ρ with p-values annotated. (e) Learned curvature vs. tree depth (95% CI from 3 repeats). (f) Hierarchical recovery comparison: NMI and ARI across methods (Poincaré MDS, Euclidean MDS, t-SNE, PHATE).</w:t>
      </w:r>
    </w:p>
    <w:p w:rsidR="00FD3080" w:rsidRDefault="00910839">
      <w:pPr>
        <w:jc w:val="center"/>
      </w:pPr>
      <w:r>
        <w:rPr>
          <w:noProof/>
          <w:lang w:eastAsia="zh-CN"/>
        </w:rPr>
        <w:lastRenderedPageBreak/>
        <w:pict>
          <v:shape id="_x0000_i1027" type="#_x0000_t75" style="width:6in;height:297pt">
            <v:imagedata r:id="rId11" o:title="Figure3"/>
          </v:shape>
        </w:pict>
      </w:r>
    </w:p>
    <w:p w:rsidR="00FD3080" w:rsidRDefault="007C3393">
      <w:pPr>
        <w:spacing w:after="160"/>
      </w:pPr>
      <w:r>
        <w:rPr>
          <w:sz w:val="16"/>
        </w:rPr>
        <w:t>Figure 3. Bi</w:t>
      </w:r>
      <w:r>
        <w:rPr>
          <w:sz w:val="16"/>
        </w:rPr>
        <w:t>ological discovery in gastric cancer tissue. (a) Poincaré disk colored by tumor zone (inner/middle/outer), defined by the 33rd and 67th percentiles of the Poincaré radius distribution. (b) Mean z-score cell-type module scores by zone, showing epithelial en</w:t>
      </w:r>
      <w:r>
        <w:rPr>
          <w:sz w:val="16"/>
        </w:rPr>
        <w:t>richment in the inner zone and macrophage enrichment in the outer zone. (c) Hierarchical Differential Score (HDS) heatmap: HDS(A, B) = mean radius of cell type A minus mean radius of B. Positive values (red) indicate A is more peripheral than B; negative v</w:t>
      </w:r>
      <w:r>
        <w:rPr>
          <w:sz w:val="16"/>
        </w:rPr>
        <w:t>alues (blue) indicate A is more central. *q &lt; 10⁻¹⁰, Mann–Whitney U test with Benjamini–Hochberg FDR correction. (d) KMeans clusters (k = 8) on the Poincaré disk. (e) Per-cluster silhouette comparison between Poincaré and Euclidean embeddings, confirming c</w:t>
      </w:r>
      <w:r>
        <w:rPr>
          <w:sz w:val="16"/>
        </w:rPr>
        <w:t>omparable overall cluster separation in hyperbolic space (paired t-test with Cohen's d annotation). (f) Neighborhood purity comparison: hyperbolic vs. spatial neighborhoods at k = 10, 20, 30.</w:t>
      </w:r>
    </w:p>
    <w:p w:rsidR="00FD3080" w:rsidRDefault="00910839">
      <w:pPr>
        <w:jc w:val="center"/>
      </w:pPr>
      <w:r>
        <w:rPr>
          <w:noProof/>
          <w:lang w:eastAsia="zh-CN"/>
        </w:rPr>
        <w:lastRenderedPageBreak/>
        <w:pict>
          <v:shape id="_x0000_i1028" type="#_x0000_t75" style="width:6in;height:315.75pt">
            <v:imagedata r:id="rId12" o:title="Figure4"/>
          </v:shape>
        </w:pict>
      </w:r>
    </w:p>
    <w:p w:rsidR="00FD3080" w:rsidRDefault="007C3393">
      <w:pPr>
        <w:spacing w:after="160"/>
      </w:pPr>
      <w:r>
        <w:rPr>
          <w:sz w:val="16"/>
        </w:rPr>
        <w:t>Figure 4. Cross-dataset validation. (a) Slide-seq V2 synthetic</w:t>
      </w:r>
      <w:r>
        <w:rPr>
          <w:sz w:val="16"/>
        </w:rPr>
        <w:t xml:space="preserve"> cerebellum: Poincaré disk by layer. (b) Poincaré radius by cerebellar layer (violin plot with jitter points); Spearman ρ with 95% bootstrap CI annotated. (c) NMI and ARI for layer separation across 4 methods. (d) Developmental cortex: Poincaré disk by dif</w:t>
      </w:r>
      <w:r>
        <w:rPr>
          <w:sz w:val="16"/>
        </w:rPr>
        <w:t>ferentiation stage. (e) Poincaré radius by stage (violin plot with jitter points); Spearman ρ with 95% bootstrap CI annotated. (f) Summary of cross-dataset results with 95% CI error bars.</w:t>
      </w:r>
    </w:p>
    <w:p w:rsidR="00FD3080" w:rsidRDefault="00910839">
      <w:pPr>
        <w:jc w:val="center"/>
      </w:pPr>
      <w:r>
        <w:rPr>
          <w:noProof/>
          <w:lang w:eastAsia="zh-CN"/>
        </w:rPr>
        <w:lastRenderedPageBreak/>
        <w:pict>
          <v:shape id="_x0000_i1029" type="#_x0000_t75" style="width:431.25pt;height:290.25pt">
            <v:imagedata r:id="rId13" o:title="Figure5"/>
          </v:shape>
        </w:pict>
      </w:r>
    </w:p>
    <w:p w:rsidR="00FD3080" w:rsidRDefault="007C3393">
      <w:pPr>
        <w:spacing w:after="160"/>
      </w:pPr>
      <w:r>
        <w:rPr>
          <w:sz w:val="16"/>
        </w:rPr>
        <w:t>Figure 5. Comprehensive benchmark. (a–e) Bar charts for Spearman ρ</w:t>
      </w:r>
      <w:r>
        <w:rPr>
          <w:sz w:val="16"/>
        </w:rPr>
        <w:t>, Trustworthiness, k-NN retention, NMI, and ARI across 4 methods. Best method highlighted with bold border; second best shown in italic. Error bars: 95% bootstrap CI where available. (f) Radar chart summarizing all 5 normalized metrics. Poincaré MDS domina</w:t>
      </w:r>
      <w:r>
        <w:rPr>
          <w:sz w:val="16"/>
        </w:rPr>
        <w:t>tes in hierarchical recovery (NMI, ARI); Euclidean MDS dominates in distance and neighborhood preservation.</w:t>
      </w:r>
    </w:p>
    <w:p w:rsidR="00FD3080" w:rsidRDefault="007C3393">
      <w:pPr>
        <w:jc w:val="center"/>
      </w:pPr>
      <w:r>
        <w:rPr>
          <w:noProof/>
          <w:lang w:eastAsia="zh-CN"/>
        </w:rPr>
        <w:drawing>
          <wp:inline distT="0" distB="0" distL="0" distR="0">
            <wp:extent cx="5029200" cy="2584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Fig1_scalability.png"/>
                    <pic:cNvPicPr/>
                  </pic:nvPicPr>
                  <pic:blipFill>
                    <a:blip r:embed="rId14"/>
                    <a:stretch>
                      <a:fillRect/>
                    </a:stretch>
                  </pic:blipFill>
                  <pic:spPr>
                    <a:xfrm>
                      <a:off x="0" y="0"/>
                      <a:ext cx="5029200" cy="2584487"/>
                    </a:xfrm>
                    <a:prstGeom prst="rect">
                      <a:avLst/>
                    </a:prstGeom>
                  </pic:spPr>
                </pic:pic>
              </a:graphicData>
            </a:graphic>
          </wp:inline>
        </w:drawing>
      </w:r>
    </w:p>
    <w:p w:rsidR="00FD3080" w:rsidRDefault="007C3393">
      <w:pPr>
        <w:spacing w:after="160"/>
      </w:pPr>
      <w:r>
        <w:rPr>
          <w:sz w:val="16"/>
        </w:rPr>
        <w:t>Supplementary Figure 1. Scalability. (a) Runtime vs. dataset size (1K–10K samples). (b) Peak memory vs. dataset size.</w:t>
      </w:r>
    </w:p>
    <w:p w:rsidR="00FD3080" w:rsidRDefault="007C3393">
      <w:pPr>
        <w:jc w:val="center"/>
      </w:pPr>
      <w:r>
        <w:rPr>
          <w:noProof/>
          <w:lang w:eastAsia="zh-CN"/>
        </w:rPr>
        <w:lastRenderedPageBreak/>
        <w:drawing>
          <wp:inline distT="0" distB="0" distL="0" distR="0">
            <wp:extent cx="5029200" cy="26486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Fig2_curvature.png"/>
                    <pic:cNvPicPr/>
                  </pic:nvPicPr>
                  <pic:blipFill>
                    <a:blip r:embed="rId15"/>
                    <a:stretch>
                      <a:fillRect/>
                    </a:stretch>
                  </pic:blipFill>
                  <pic:spPr>
                    <a:xfrm>
                      <a:off x="0" y="0"/>
                      <a:ext cx="5029200" cy="2648676"/>
                    </a:xfrm>
                    <a:prstGeom prst="rect">
                      <a:avLst/>
                    </a:prstGeom>
                  </pic:spPr>
                </pic:pic>
              </a:graphicData>
            </a:graphic>
          </wp:inline>
        </w:drawing>
      </w:r>
    </w:p>
    <w:p w:rsidR="00FD3080" w:rsidRDefault="007C3393">
      <w:pPr>
        <w:spacing w:after="160"/>
      </w:pPr>
      <w:r>
        <w:rPr>
          <w:sz w:val="16"/>
        </w:rPr>
        <w:t>Supplementary Figure 2. Ad</w:t>
      </w:r>
      <w:r>
        <w:rPr>
          <w:sz w:val="16"/>
        </w:rPr>
        <w:t>aptive curvature learning. (a) Learned curvature vs. tree depth. (b) Curvature for hierarchical vs. flat vs. real data.</w:t>
      </w:r>
    </w:p>
    <w:p w:rsidR="00FD3080" w:rsidRDefault="007C3393">
      <w:pPr>
        <w:jc w:val="center"/>
      </w:pPr>
      <w:r>
        <w:rPr>
          <w:noProof/>
          <w:lang w:eastAsia="zh-CN"/>
        </w:rPr>
        <w:drawing>
          <wp:inline distT="0" distB="0" distL="0" distR="0">
            <wp:extent cx="5029200" cy="2628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Fig3_k_sensitivity.png"/>
                    <pic:cNvPicPr/>
                  </pic:nvPicPr>
                  <pic:blipFill>
                    <a:blip r:embed="rId16"/>
                    <a:stretch>
                      <a:fillRect/>
                    </a:stretch>
                  </pic:blipFill>
                  <pic:spPr>
                    <a:xfrm>
                      <a:off x="0" y="0"/>
                      <a:ext cx="5029200" cy="2628653"/>
                    </a:xfrm>
                    <a:prstGeom prst="rect">
                      <a:avLst/>
                    </a:prstGeom>
                  </pic:spPr>
                </pic:pic>
              </a:graphicData>
            </a:graphic>
          </wp:inline>
        </w:drawing>
      </w:r>
    </w:p>
    <w:p w:rsidR="00FD3080" w:rsidRDefault="007C3393">
      <w:pPr>
        <w:spacing w:after="160"/>
      </w:pPr>
      <w:r>
        <w:rPr>
          <w:sz w:val="16"/>
        </w:rPr>
        <w:t xml:space="preserve">Supplementary Figure 3. k-NN parameter sensitivity. (a) Radius-depth correlation (Spearman ρ) as a function of k (10–50). Error bars: </w:t>
      </w:r>
      <w:r>
        <w:rPr>
          <w:sz w:val="16"/>
        </w:rPr>
        <w:t>standard deviation across 3 repeats. (b) Runtime vs. k.</w:t>
      </w:r>
    </w:p>
    <w:p w:rsidR="00FD3080" w:rsidRDefault="007C3393">
      <w:pPr>
        <w:jc w:val="center"/>
      </w:pPr>
      <w:r>
        <w:rPr>
          <w:noProof/>
          <w:lang w:eastAsia="zh-CN"/>
        </w:rPr>
        <w:lastRenderedPageBreak/>
        <w:drawing>
          <wp:inline distT="0" distB="0" distL="0" distR="0">
            <wp:extent cx="5029200" cy="26286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Fig4_lambda_sensitivity.png"/>
                    <pic:cNvPicPr/>
                  </pic:nvPicPr>
                  <pic:blipFill>
                    <a:blip r:embed="rId17"/>
                    <a:stretch>
                      <a:fillRect/>
                    </a:stretch>
                  </pic:blipFill>
                  <pic:spPr>
                    <a:xfrm>
                      <a:off x="0" y="0"/>
                      <a:ext cx="5029200" cy="2628653"/>
                    </a:xfrm>
                    <a:prstGeom prst="rect">
                      <a:avLst/>
                    </a:prstGeom>
                  </pic:spPr>
                </pic:pic>
              </a:graphicData>
            </a:graphic>
          </wp:inline>
        </w:drawing>
      </w:r>
    </w:p>
    <w:p w:rsidR="00FD3080" w:rsidRDefault="007C3393">
      <w:pPr>
        <w:spacing w:after="160"/>
      </w:pPr>
      <w:r>
        <w:rPr>
          <w:sz w:val="16"/>
        </w:rPr>
        <w:t>Supplementary Figure 4. Repulsion weight sensitivity. (a) Mean Poincaré radius ± standard deviation as a function of repulsion weight λ (0–5). (b) Radius-depth correlation vs. λ. The method is robus</w:t>
      </w:r>
      <w:r>
        <w:rPr>
          <w:sz w:val="16"/>
        </w:rPr>
        <w:t>t across λ ∈ [0.1, 2.0].</w:t>
      </w:r>
    </w:p>
    <w:p w:rsidR="00FD3080" w:rsidRDefault="007C3393">
      <w:pPr>
        <w:jc w:val="center"/>
      </w:pPr>
      <w:r>
        <w:rPr>
          <w:noProof/>
          <w:lang w:eastAsia="zh-CN"/>
        </w:rPr>
        <w:drawing>
          <wp:inline distT="0" distB="0" distL="0" distR="0">
            <wp:extent cx="5029200" cy="26329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Fig5_convergence.png"/>
                    <pic:cNvPicPr/>
                  </pic:nvPicPr>
                  <pic:blipFill>
                    <a:blip r:embed="rId18"/>
                    <a:stretch>
                      <a:fillRect/>
                    </a:stretch>
                  </pic:blipFill>
                  <pic:spPr>
                    <a:xfrm>
                      <a:off x="0" y="0"/>
                      <a:ext cx="5029200" cy="2632918"/>
                    </a:xfrm>
                    <a:prstGeom prst="rect">
                      <a:avLst/>
                    </a:prstGeom>
                  </pic:spPr>
                </pic:pic>
              </a:graphicData>
            </a:graphic>
          </wp:inline>
        </w:drawing>
      </w:r>
    </w:p>
    <w:p w:rsidR="00910839" w:rsidRDefault="007C3393">
      <w:pPr>
        <w:spacing w:after="160"/>
        <w:rPr>
          <w:noProof/>
          <w:lang w:eastAsia="zh-CN"/>
        </w:rPr>
      </w:pPr>
      <w:r>
        <w:rPr>
          <w:sz w:val="16"/>
        </w:rPr>
        <w:t>Supplementary Figure 5. Convergence curves. Loss vs. epoch for four target epoch budgets (500, 1000, 2000, 3000). Loss stabilizes within 1,000–1,500 epochs, confirming that 2,000 epochs (default) is sufficient.</w:t>
      </w:r>
      <w:r w:rsidR="00910839" w:rsidRPr="00910839">
        <w:rPr>
          <w:noProof/>
          <w:lang w:eastAsia="zh-CN"/>
        </w:rPr>
        <w:t xml:space="preserve"> </w:t>
      </w:r>
    </w:p>
    <w:p w:rsidR="00FD3080" w:rsidRDefault="00910839">
      <w:pPr>
        <w:spacing w:after="160"/>
      </w:pPr>
      <w:bookmarkStart w:id="0" w:name="_GoBack"/>
      <w:bookmarkEnd w:id="0"/>
      <w:r>
        <w:rPr>
          <w:noProof/>
          <w:lang w:eastAsia="zh-CN"/>
        </w:rPr>
        <w:drawing>
          <wp:inline distT="0" distB="0" distL="0" distR="0" wp14:anchorId="59E20800" wp14:editId="4F59C476">
            <wp:extent cx="5029200" cy="2011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e_lr_violin.png"/>
                    <pic:cNvPicPr/>
                  </pic:nvPicPr>
                  <pic:blipFill>
                    <a:blip r:embed="rId19"/>
                    <a:stretch>
                      <a:fillRect/>
                    </a:stretch>
                  </pic:blipFill>
                  <pic:spPr>
                    <a:xfrm>
                      <a:off x="0" y="0"/>
                      <a:ext cx="5029200" cy="2011680"/>
                    </a:xfrm>
                    <a:prstGeom prst="rect">
                      <a:avLst/>
                    </a:prstGeom>
                  </pic:spPr>
                </pic:pic>
              </a:graphicData>
            </a:graphic>
          </wp:inline>
        </w:drawing>
      </w:r>
    </w:p>
    <w:p w:rsidR="00FD3080" w:rsidRDefault="007C3393">
      <w:pPr>
        <w:spacing w:after="80"/>
      </w:pPr>
      <w:r>
        <w:rPr>
          <w:i/>
          <w:sz w:val="16"/>
        </w:rPr>
        <w:lastRenderedPageBreak/>
        <w:t>Supplementary Figu</w:t>
      </w:r>
      <w:r>
        <w:rPr>
          <w:i/>
          <w:sz w:val="16"/>
        </w:rPr>
        <w:t>re 6. Ligand–receptor interaction potential distributions. Violin plots comparing per-spot LR interaction potential in hyperbolic (blue) vs. spatial (red) neighborhoods for three cell type pairs: (a) CAF–macrophage (CXCL12–CXCR4), (b) endothelial–macrophag</w:t>
      </w:r>
      <w:r>
        <w:rPr>
          <w:i/>
          <w:sz w:val="16"/>
        </w:rPr>
        <w:t>e (VEGFA–FLT1), and (c) epithelial–macrophage (CD44–LYVE1, contact-dependent control). Dashed lines indicate means. Diffusible-signal pairs (a, b) show significantly higher potential in hyperbolic neighborhoods; the contact-dependent pair (c) shows the opp</w:t>
      </w:r>
      <w:r>
        <w:rPr>
          <w:i/>
          <w:sz w:val="16"/>
        </w:rPr>
        <w:t>osite pattern. Supplementary Table 1. Benchmark comparison of Poincaré MDS against PHATE, Euclidean MDS, and t-SNE on gastric cancer Visium data. Metrics include Spearman ρ (distance preservation), trustworthiness, k-NN retention (local neighborhood preser</w:t>
      </w:r>
      <w:r>
        <w:rPr>
          <w:i/>
          <w:sz w:val="16"/>
        </w:rPr>
        <w:t>vation), NMI, and ARI (hierarchical recovery). Best values per metric are highlighted.</w:t>
      </w:r>
    </w:p>
    <w:p w:rsidR="00FD3080" w:rsidRDefault="00FD3080">
      <w:pPr>
        <w:jc w:val="center"/>
      </w:pPr>
    </w:p>
    <w:p w:rsidR="00FD3080" w:rsidRDefault="00FD3080">
      <w:pPr>
        <w:spacing w:after="160"/>
      </w:pPr>
    </w:p>
    <w:p w:rsidR="00FD3080" w:rsidRDefault="007C3393">
      <w:pPr>
        <w:spacing w:after="80"/>
      </w:pPr>
      <w:r>
        <w:rPr>
          <w:b/>
          <w:sz w:val="18"/>
        </w:rPr>
        <w:t>Supplementary Table 1. Benchmark comparison on gastric cancer Visium data.</w:t>
      </w:r>
    </w:p>
    <w:tbl>
      <w:tblPr>
        <w:tblStyle w:val="-11"/>
        <w:tblW w:w="0" w:type="auto"/>
        <w:jc w:val="center"/>
        <w:tblLook w:val="04A0" w:firstRow="1" w:lastRow="0" w:firstColumn="1" w:lastColumn="0" w:noHBand="0" w:noVBand="1"/>
      </w:tblPr>
      <w:tblGrid>
        <w:gridCol w:w="1234"/>
        <w:gridCol w:w="1234"/>
        <w:gridCol w:w="1234"/>
        <w:gridCol w:w="1337"/>
        <w:gridCol w:w="1234"/>
        <w:gridCol w:w="1234"/>
        <w:gridCol w:w="1234"/>
      </w:tblGrid>
      <w:tr w:rsidR="00FD3080" w:rsidTr="00FD30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D3080" w:rsidRDefault="007C3393">
            <w:pPr>
              <w:jc w:val="center"/>
            </w:pPr>
            <w:r>
              <w:rPr>
                <w:sz w:val="16"/>
              </w:rPr>
              <w:t>Method</w:t>
            </w:r>
          </w:p>
        </w:tc>
        <w:tc>
          <w:tcPr>
            <w:tcW w:w="1234"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Spearman Ρ</w:t>
            </w:r>
          </w:p>
        </w:tc>
        <w:tc>
          <w:tcPr>
            <w:tcW w:w="1234"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P-Value</w:t>
            </w:r>
          </w:p>
        </w:tc>
        <w:tc>
          <w:tcPr>
            <w:tcW w:w="1234"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Trustworthiness</w:t>
            </w:r>
          </w:p>
        </w:tc>
        <w:tc>
          <w:tcPr>
            <w:tcW w:w="1234"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K-Nn Retention</w:t>
            </w:r>
          </w:p>
        </w:tc>
        <w:tc>
          <w:tcPr>
            <w:tcW w:w="1234"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Nmi</w:t>
            </w:r>
          </w:p>
        </w:tc>
        <w:tc>
          <w:tcPr>
            <w:tcW w:w="1234"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Ari</w:t>
            </w:r>
          </w:p>
        </w:tc>
      </w:tr>
      <w:tr w:rsidR="00FD3080" w:rsidTr="00FD30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D3080" w:rsidRDefault="007C3393">
            <w:pPr>
              <w:jc w:val="center"/>
            </w:pPr>
            <w:r>
              <w:rPr>
                <w:sz w:val="16"/>
              </w:rPr>
              <w:t>Poincaré MDS</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0.8829</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0.0000</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0.9584</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0.1546</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0.3488</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0.2251</w:t>
            </w:r>
          </w:p>
        </w:tc>
      </w:tr>
      <w:tr w:rsidR="00FD3080" w:rsidTr="00FD30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D3080" w:rsidRDefault="007C3393">
            <w:pPr>
              <w:jc w:val="center"/>
            </w:pPr>
            <w:r>
              <w:rPr>
                <w:sz w:val="16"/>
              </w:rPr>
              <w:t>PHATE</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0.8009</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0.0000</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0.9348</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0.2369</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0.2414</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0.1639</w:t>
            </w:r>
          </w:p>
        </w:tc>
      </w:tr>
      <w:tr w:rsidR="00FD3080" w:rsidTr="00FD30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D3080" w:rsidRDefault="007C3393">
            <w:pPr>
              <w:jc w:val="center"/>
            </w:pPr>
            <w:r>
              <w:rPr>
                <w:sz w:val="16"/>
              </w:rPr>
              <w:t>Euclidean MDS</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0.9009</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0.0000</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0.9704</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0.2773</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0.2696</w:t>
            </w:r>
          </w:p>
        </w:tc>
        <w:tc>
          <w:tcPr>
            <w:tcW w:w="1234"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0.1834</w:t>
            </w:r>
          </w:p>
        </w:tc>
      </w:tr>
      <w:tr w:rsidR="00FD3080" w:rsidTr="00FD30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FD3080" w:rsidRDefault="007C3393">
            <w:pPr>
              <w:jc w:val="center"/>
            </w:pPr>
            <w:r>
              <w:rPr>
                <w:sz w:val="16"/>
              </w:rPr>
              <w:t>t-SNE</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0.7587</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0.0000</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0.9798</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0.3867</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0.2870</w:t>
            </w:r>
          </w:p>
        </w:tc>
        <w:tc>
          <w:tcPr>
            <w:tcW w:w="1234"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0.1680</w:t>
            </w:r>
          </w:p>
        </w:tc>
      </w:tr>
    </w:tbl>
    <w:p w:rsidR="00FD3080" w:rsidRDefault="00FD3080"/>
    <w:p w:rsidR="00FD3080" w:rsidRDefault="007C3393">
      <w:pPr>
        <w:spacing w:after="80"/>
      </w:pPr>
      <w:r>
        <w:rPr>
          <w:b/>
          <w:sz w:val="18"/>
        </w:rPr>
        <w:t xml:space="preserve">Supplementary Table 2. Cross-platform benchmark on Slide-seq V2 </w:t>
      </w:r>
      <w:r>
        <w:rPr>
          <w:b/>
          <w:sz w:val="18"/>
        </w:rPr>
        <w:t>cerebellum.</w:t>
      </w:r>
    </w:p>
    <w:tbl>
      <w:tblPr>
        <w:tblStyle w:val="-11"/>
        <w:tblW w:w="0" w:type="auto"/>
        <w:jc w:val="center"/>
        <w:tblLook w:val="04A0" w:firstRow="1" w:lastRow="0" w:firstColumn="1" w:lastColumn="0" w:noHBand="0" w:noVBand="1"/>
      </w:tblPr>
      <w:tblGrid>
        <w:gridCol w:w="1440"/>
        <w:gridCol w:w="1440"/>
        <w:gridCol w:w="1440"/>
        <w:gridCol w:w="1440"/>
        <w:gridCol w:w="1440"/>
        <w:gridCol w:w="1440"/>
      </w:tblGrid>
      <w:tr w:rsidR="00FD3080" w:rsidTr="00FD30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D3080" w:rsidRDefault="007C3393">
            <w:pPr>
              <w:jc w:val="center"/>
            </w:pPr>
            <w:r>
              <w:rPr>
                <w:sz w:val="16"/>
              </w:rPr>
              <w:t>Method</w:t>
            </w:r>
          </w:p>
        </w:tc>
        <w:tc>
          <w:tcPr>
            <w:tcW w:w="1440"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Spearman Ρ</w:t>
            </w:r>
          </w:p>
        </w:tc>
        <w:tc>
          <w:tcPr>
            <w:tcW w:w="1440"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P-Value</w:t>
            </w:r>
          </w:p>
        </w:tc>
        <w:tc>
          <w:tcPr>
            <w:tcW w:w="1440"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K-Nn Retention</w:t>
            </w:r>
          </w:p>
        </w:tc>
        <w:tc>
          <w:tcPr>
            <w:tcW w:w="1440"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Nmi</w:t>
            </w:r>
          </w:p>
        </w:tc>
        <w:tc>
          <w:tcPr>
            <w:tcW w:w="1440"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Ari</w:t>
            </w:r>
          </w:p>
        </w:tc>
      </w:tr>
      <w:tr w:rsidR="00FD3080" w:rsidTr="00FD30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D3080" w:rsidRDefault="007C3393">
            <w:pPr>
              <w:jc w:val="center"/>
            </w:pPr>
            <w:r>
              <w:rPr>
                <w:sz w:val="16"/>
              </w:rPr>
              <w:t>Poincaré MDS</w:t>
            </w:r>
          </w:p>
        </w:tc>
        <w:tc>
          <w:tcPr>
            <w:tcW w:w="1440"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0.6610</w:t>
            </w:r>
          </w:p>
        </w:tc>
        <w:tc>
          <w:tcPr>
            <w:tcW w:w="1440"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0.0000</w:t>
            </w:r>
          </w:p>
        </w:tc>
        <w:tc>
          <w:tcPr>
            <w:tcW w:w="1440"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0.0696</w:t>
            </w:r>
          </w:p>
        </w:tc>
        <w:tc>
          <w:tcPr>
            <w:tcW w:w="1440"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0.6261</w:t>
            </w:r>
          </w:p>
        </w:tc>
        <w:tc>
          <w:tcPr>
            <w:tcW w:w="1440"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0.6611</w:t>
            </w:r>
          </w:p>
        </w:tc>
      </w:tr>
      <w:tr w:rsidR="00FD3080" w:rsidTr="00FD30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D3080" w:rsidRDefault="007C3393">
            <w:pPr>
              <w:jc w:val="center"/>
            </w:pPr>
            <w:r>
              <w:rPr>
                <w:sz w:val="16"/>
              </w:rPr>
              <w:t>Euclidean MDS</w:t>
            </w:r>
          </w:p>
        </w:tc>
        <w:tc>
          <w:tcPr>
            <w:tcW w:w="1440"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0.7105</w:t>
            </w:r>
          </w:p>
        </w:tc>
        <w:tc>
          <w:tcPr>
            <w:tcW w:w="1440"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0.0000</w:t>
            </w:r>
          </w:p>
        </w:tc>
        <w:tc>
          <w:tcPr>
            <w:tcW w:w="1440"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0.1092</w:t>
            </w:r>
          </w:p>
        </w:tc>
        <w:tc>
          <w:tcPr>
            <w:tcW w:w="1440"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0.5776</w:t>
            </w:r>
          </w:p>
        </w:tc>
        <w:tc>
          <w:tcPr>
            <w:tcW w:w="1440"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0.6011</w:t>
            </w:r>
          </w:p>
        </w:tc>
      </w:tr>
      <w:tr w:rsidR="00FD3080" w:rsidTr="00FD30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D3080" w:rsidRDefault="007C3393">
            <w:pPr>
              <w:jc w:val="center"/>
            </w:pPr>
            <w:r>
              <w:rPr>
                <w:sz w:val="16"/>
              </w:rPr>
              <w:t>t-SNE</w:t>
            </w:r>
          </w:p>
        </w:tc>
        <w:tc>
          <w:tcPr>
            <w:tcW w:w="1440"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0.4952</w:t>
            </w:r>
          </w:p>
        </w:tc>
        <w:tc>
          <w:tcPr>
            <w:tcW w:w="1440"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0.0000</w:t>
            </w:r>
          </w:p>
        </w:tc>
        <w:tc>
          <w:tcPr>
            <w:tcW w:w="1440"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0.2412</w:t>
            </w:r>
          </w:p>
        </w:tc>
        <w:tc>
          <w:tcPr>
            <w:tcW w:w="1440"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0.6033</w:t>
            </w:r>
          </w:p>
        </w:tc>
        <w:tc>
          <w:tcPr>
            <w:tcW w:w="1440"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0.6500</w:t>
            </w:r>
          </w:p>
        </w:tc>
      </w:tr>
      <w:tr w:rsidR="00FD3080" w:rsidTr="00FD30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FD3080" w:rsidRDefault="007C3393">
            <w:pPr>
              <w:jc w:val="center"/>
            </w:pPr>
            <w:r>
              <w:rPr>
                <w:sz w:val="16"/>
              </w:rPr>
              <w:t>PHATE</w:t>
            </w:r>
          </w:p>
        </w:tc>
        <w:tc>
          <w:tcPr>
            <w:tcW w:w="1440"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0.5057</w:t>
            </w:r>
          </w:p>
        </w:tc>
        <w:tc>
          <w:tcPr>
            <w:tcW w:w="1440"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0.0000</w:t>
            </w:r>
          </w:p>
        </w:tc>
        <w:tc>
          <w:tcPr>
            <w:tcW w:w="1440"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0.0684</w:t>
            </w:r>
          </w:p>
        </w:tc>
        <w:tc>
          <w:tcPr>
            <w:tcW w:w="1440"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0.5612</w:t>
            </w:r>
          </w:p>
        </w:tc>
        <w:tc>
          <w:tcPr>
            <w:tcW w:w="1440"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0.5089</w:t>
            </w:r>
          </w:p>
        </w:tc>
      </w:tr>
    </w:tbl>
    <w:p w:rsidR="00FD3080" w:rsidRDefault="00FD3080"/>
    <w:p w:rsidR="00FD3080" w:rsidRDefault="007C3393">
      <w:pPr>
        <w:spacing w:after="80"/>
      </w:pPr>
      <w:r>
        <w:rPr>
          <w:b/>
          <w:sz w:val="18"/>
        </w:rPr>
        <w:t>Supplementary Table 3. Scalability benchmarks.</w:t>
      </w:r>
    </w:p>
    <w:tbl>
      <w:tblPr>
        <w:tblStyle w:val="-11"/>
        <w:tblW w:w="0" w:type="auto"/>
        <w:jc w:val="center"/>
        <w:tblLook w:val="04A0" w:firstRow="1" w:lastRow="0" w:firstColumn="1" w:lastColumn="0" w:noHBand="0" w:noVBand="1"/>
      </w:tblPr>
      <w:tblGrid>
        <w:gridCol w:w="1728"/>
        <w:gridCol w:w="1728"/>
        <w:gridCol w:w="1728"/>
        <w:gridCol w:w="1728"/>
        <w:gridCol w:w="1728"/>
      </w:tblGrid>
      <w:tr w:rsidR="00FD3080" w:rsidTr="00FD30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D3080" w:rsidRDefault="007C3393">
            <w:pPr>
              <w:jc w:val="center"/>
            </w:pPr>
            <w:r>
              <w:rPr>
                <w:sz w:val="16"/>
              </w:rPr>
              <w:t>Samples</w:t>
            </w:r>
          </w:p>
        </w:tc>
        <w:tc>
          <w:tcPr>
            <w:tcW w:w="1728"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Runtime (S)</w:t>
            </w:r>
          </w:p>
        </w:tc>
        <w:tc>
          <w:tcPr>
            <w:tcW w:w="1728"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Peak Memory (Mb)</w:t>
            </w:r>
          </w:p>
        </w:tc>
        <w:tc>
          <w:tcPr>
            <w:tcW w:w="1728"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Mean Radius</w:t>
            </w:r>
          </w:p>
        </w:tc>
        <w:tc>
          <w:tcPr>
            <w:tcW w:w="1728"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Max Radius</w:t>
            </w:r>
          </w:p>
        </w:tc>
      </w:tr>
      <w:tr w:rsidR="00FD3080" w:rsidTr="00FD30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D3080" w:rsidRDefault="007C3393">
            <w:pPr>
              <w:jc w:val="center"/>
            </w:pPr>
            <w:r>
              <w:rPr>
                <w:sz w:val="16"/>
              </w:rPr>
              <w:t>1000.00</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8.81</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38.57</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0.3954</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0.6393</w:t>
            </w:r>
          </w:p>
        </w:tc>
      </w:tr>
      <w:tr w:rsidR="00FD3080" w:rsidTr="00FD30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D3080" w:rsidRDefault="007C3393">
            <w:pPr>
              <w:jc w:val="center"/>
            </w:pPr>
            <w:r>
              <w:rPr>
                <w:sz w:val="16"/>
              </w:rPr>
              <w:t>2000.00</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10.23</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153.21</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0.3910</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0.6228</w:t>
            </w:r>
          </w:p>
        </w:tc>
      </w:tr>
      <w:tr w:rsidR="00FD3080" w:rsidTr="00FD30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D3080" w:rsidRDefault="007C3393">
            <w:pPr>
              <w:jc w:val="center"/>
            </w:pPr>
            <w:r>
              <w:rPr>
                <w:sz w:val="16"/>
              </w:rPr>
              <w:t>5000.00</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25.24</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955.23</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0.3709</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0.6142</w:t>
            </w:r>
          </w:p>
        </w:tc>
      </w:tr>
      <w:tr w:rsidR="00FD3080" w:rsidTr="00FD30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D3080" w:rsidRDefault="007C3393">
            <w:pPr>
              <w:jc w:val="center"/>
            </w:pPr>
            <w:r>
              <w:rPr>
                <w:sz w:val="16"/>
              </w:rPr>
              <w:t>10000.00</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125.93</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3817.79</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0.3395</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0.5830</w:t>
            </w:r>
          </w:p>
        </w:tc>
      </w:tr>
    </w:tbl>
    <w:p w:rsidR="00FD3080" w:rsidRDefault="00FD3080"/>
    <w:p w:rsidR="00FD3080" w:rsidRDefault="007C3393">
      <w:pPr>
        <w:spacing w:after="80"/>
      </w:pPr>
      <w:r>
        <w:rPr>
          <w:b/>
          <w:sz w:val="18"/>
        </w:rPr>
        <w:t>Supplementary Table 4. Cell type pair enrichment (k=30).</w:t>
      </w:r>
    </w:p>
    <w:tbl>
      <w:tblPr>
        <w:tblStyle w:val="-11"/>
        <w:tblW w:w="0" w:type="auto"/>
        <w:jc w:val="center"/>
        <w:tblLook w:val="04A0" w:firstRow="1" w:lastRow="0" w:firstColumn="1" w:lastColumn="0" w:noHBand="0" w:noVBand="1"/>
      </w:tblPr>
      <w:tblGrid>
        <w:gridCol w:w="1950"/>
        <w:gridCol w:w="1727"/>
        <w:gridCol w:w="1727"/>
        <w:gridCol w:w="1726"/>
        <w:gridCol w:w="1726"/>
      </w:tblGrid>
      <w:tr w:rsidR="00FD3080" w:rsidTr="00FD30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D3080" w:rsidRDefault="007C3393">
            <w:pPr>
              <w:jc w:val="center"/>
            </w:pPr>
            <w:r>
              <w:rPr>
                <w:sz w:val="16"/>
              </w:rPr>
              <w:t>Pair</w:t>
            </w:r>
          </w:p>
        </w:tc>
        <w:tc>
          <w:tcPr>
            <w:tcW w:w="1728"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Description</w:t>
            </w:r>
          </w:p>
        </w:tc>
        <w:tc>
          <w:tcPr>
            <w:tcW w:w="1728"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Hyperbolic</w:t>
            </w:r>
          </w:p>
        </w:tc>
        <w:tc>
          <w:tcPr>
            <w:tcW w:w="1728"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Spatial</w:t>
            </w:r>
          </w:p>
        </w:tc>
        <w:tc>
          <w:tcPr>
            <w:tcW w:w="1728" w:type="dxa"/>
          </w:tcPr>
          <w:p w:rsidR="00FD3080" w:rsidRDefault="007C3393">
            <w:pPr>
              <w:jc w:val="center"/>
              <w:cnfStyle w:val="100000000000" w:firstRow="1" w:lastRow="0" w:firstColumn="0" w:lastColumn="0" w:oddVBand="0" w:evenVBand="0" w:oddHBand="0" w:evenHBand="0" w:firstRowFirstColumn="0" w:firstRowLastColumn="0" w:lastRowFirstColumn="0" w:lastRowLastColumn="0"/>
            </w:pPr>
            <w:r>
              <w:rPr>
                <w:sz w:val="16"/>
              </w:rPr>
              <w:t>Ratio</w:t>
            </w:r>
          </w:p>
        </w:tc>
      </w:tr>
      <w:tr w:rsidR="00FD3080" w:rsidTr="00FD30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D3080" w:rsidRDefault="007C3393">
            <w:pPr>
              <w:jc w:val="center"/>
            </w:pPr>
            <w:r>
              <w:rPr>
                <w:sz w:val="16"/>
              </w:rPr>
              <w:t>Epithelial_Macrophage</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Tumor-immune signaling</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0.4491</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0.7838</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0.5730</w:t>
            </w:r>
          </w:p>
        </w:tc>
      </w:tr>
      <w:tr w:rsidR="00FD3080" w:rsidTr="00FD30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D3080" w:rsidRDefault="007C3393">
            <w:pPr>
              <w:jc w:val="center"/>
            </w:pPr>
            <w:r>
              <w:rPr>
                <w:sz w:val="16"/>
              </w:rPr>
              <w:t>CAF_Macrophage</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Stromal-immune crosstalk</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1.03</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0.8579</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1.20</w:t>
            </w:r>
          </w:p>
        </w:tc>
      </w:tr>
      <w:tr w:rsidR="00FD3080" w:rsidTr="00FD30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D3080" w:rsidRDefault="007C3393">
            <w:pPr>
              <w:jc w:val="center"/>
            </w:pPr>
            <w:r>
              <w:rPr>
                <w:sz w:val="16"/>
              </w:rPr>
              <w:t>Epithelial_Fibroblast</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Epithelial-stromal niche signaling</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0.5056</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0.6719</w:t>
            </w:r>
          </w:p>
        </w:tc>
        <w:tc>
          <w:tcPr>
            <w:tcW w:w="1728" w:type="dxa"/>
          </w:tcPr>
          <w:p w:rsidR="00FD3080" w:rsidRDefault="007C3393">
            <w:pPr>
              <w:jc w:val="center"/>
              <w:cnfStyle w:val="000000100000" w:firstRow="0" w:lastRow="0" w:firstColumn="0" w:lastColumn="0" w:oddVBand="0" w:evenVBand="0" w:oddHBand="1" w:evenHBand="0" w:firstRowFirstColumn="0" w:firstRowLastColumn="0" w:lastRowFirstColumn="0" w:lastRowLastColumn="0"/>
            </w:pPr>
            <w:r>
              <w:rPr>
                <w:sz w:val="16"/>
              </w:rPr>
              <w:t>0.7525</w:t>
            </w:r>
          </w:p>
        </w:tc>
      </w:tr>
      <w:tr w:rsidR="00FD3080" w:rsidTr="00FD30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FD3080" w:rsidRDefault="007C3393">
            <w:pPr>
              <w:jc w:val="center"/>
            </w:pPr>
            <w:r>
              <w:rPr>
                <w:sz w:val="16"/>
              </w:rPr>
              <w:t>Endothelial_Macrophage</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Angiogenesis-immune axis</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1.17</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1.01</w:t>
            </w:r>
          </w:p>
        </w:tc>
        <w:tc>
          <w:tcPr>
            <w:tcW w:w="1728" w:type="dxa"/>
          </w:tcPr>
          <w:p w:rsidR="00FD3080" w:rsidRDefault="007C3393">
            <w:pPr>
              <w:jc w:val="center"/>
              <w:cnfStyle w:val="000000010000" w:firstRow="0" w:lastRow="0" w:firstColumn="0" w:lastColumn="0" w:oddVBand="0" w:evenVBand="0" w:oddHBand="0" w:evenHBand="1" w:firstRowFirstColumn="0" w:firstRowLastColumn="0" w:lastRowFirstColumn="0" w:lastRowLastColumn="0"/>
            </w:pPr>
            <w:r>
              <w:rPr>
                <w:sz w:val="16"/>
              </w:rPr>
              <w:t>1.15</w:t>
            </w:r>
          </w:p>
        </w:tc>
      </w:tr>
    </w:tbl>
    <w:p w:rsidR="00FD3080" w:rsidRDefault="00FD3080"/>
    <w:sectPr w:rsidR="00FD308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3393" w:rsidRDefault="007C3393" w:rsidP="00C51A02">
      <w:pPr>
        <w:spacing w:after="0" w:line="240" w:lineRule="auto"/>
      </w:pPr>
      <w:r>
        <w:separator/>
      </w:r>
    </w:p>
  </w:endnote>
  <w:endnote w:type="continuationSeparator" w:id="0">
    <w:p w:rsidR="007C3393" w:rsidRDefault="007C3393" w:rsidP="00C51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3393" w:rsidRDefault="007C3393" w:rsidP="00C51A02">
      <w:pPr>
        <w:spacing w:after="0" w:line="240" w:lineRule="auto"/>
      </w:pPr>
      <w:r>
        <w:separator/>
      </w:r>
    </w:p>
  </w:footnote>
  <w:footnote w:type="continuationSeparator" w:id="0">
    <w:p w:rsidR="007C3393" w:rsidRDefault="007C3393" w:rsidP="00C51A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56FA"/>
    <w:rsid w:val="001425C1"/>
    <w:rsid w:val="0015074B"/>
    <w:rsid w:val="00165513"/>
    <w:rsid w:val="0029639D"/>
    <w:rsid w:val="002F50D5"/>
    <w:rsid w:val="00326F90"/>
    <w:rsid w:val="00327CC4"/>
    <w:rsid w:val="00542482"/>
    <w:rsid w:val="00543FFF"/>
    <w:rsid w:val="006B210A"/>
    <w:rsid w:val="006B6912"/>
    <w:rsid w:val="006F6650"/>
    <w:rsid w:val="007C3393"/>
    <w:rsid w:val="00910839"/>
    <w:rsid w:val="009166C1"/>
    <w:rsid w:val="00922CBD"/>
    <w:rsid w:val="0095093B"/>
    <w:rsid w:val="00AA1D8D"/>
    <w:rsid w:val="00B35E17"/>
    <w:rsid w:val="00B42778"/>
    <w:rsid w:val="00B47730"/>
    <w:rsid w:val="00C51A02"/>
    <w:rsid w:val="00C60C24"/>
    <w:rsid w:val="00C8067E"/>
    <w:rsid w:val="00CB0664"/>
    <w:rsid w:val="00DF6DE7"/>
    <w:rsid w:val="00E21894"/>
    <w:rsid w:val="00F2177E"/>
    <w:rsid w:val="00F80225"/>
    <w:rsid w:val="00FC693F"/>
    <w:rsid w:val="00FD30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96991D42-DB55-41A1-8932-5A57E44DD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542482"/>
    <w:pPr>
      <w:spacing w:after="120"/>
    </w:pPr>
    <w:rPr>
      <w:rFonts w:ascii="Times New Roman" w:hAnsi="Times New Roman"/>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i/>
      <w:color w:val="00000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next w:val="a7"/>
    <w:link w:val="Char1"/>
    <w:uiPriority w:val="10"/>
    <w:qFormat/>
    <w:rsid w:val="00F2177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2177E"/>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Bibliography"/>
    <w:basedOn w:val="a1"/>
    <w:next w:val="a1"/>
    <w:uiPriority w:val="37"/>
    <w:unhideWhenUsed/>
    <w:rsid w:val="00B35E17"/>
    <w:pPr>
      <w:tabs>
        <w:tab w:val="left" w:pos="384"/>
      </w:tabs>
      <w:spacing w:after="0" w:line="480" w:lineRule="auto"/>
      <w:ind w:left="384" w:hanging="384"/>
    </w:pPr>
  </w:style>
  <w:style w:type="character" w:styleId="aff2">
    <w:name w:val="Hyperlink"/>
    <w:basedOn w:val="a2"/>
    <w:uiPriority w:val="99"/>
    <w:unhideWhenUsed/>
    <w:rsid w:val="00F217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6678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cuiqing@hebmu.edu.c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D6310-7F14-4324-8803-5DA567C62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23</Pages>
  <Words>18664</Words>
  <Characters>106388</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124803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cp:lastModifiedBy>
  <cp:revision>42</cp:revision>
  <dcterms:created xsi:type="dcterms:W3CDTF">2013-12-23T23:15:00Z</dcterms:created>
  <dcterms:modified xsi:type="dcterms:W3CDTF">2026-05-11T09:36:00Z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id="MVwgyRMO"/&gt;&lt;style id="http://www.zotero.org/styles/nature-methods" hasBibliography="1" bibliographyStyleHasBeenSet="1"/&gt;&lt;prefs&gt;&lt;pref name="fieldType" value="Field"/&gt;&lt;/prefs&gt;&lt;/data&gt;</vt:lpwstr>
  </property>
</Properties>
</file>