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 w:eastAsia="zh-CN" w:bidi="hi-IN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 w:eastAsia="zh-CN" w:bidi="hi-IN"/>
        </w:rPr>
        <w:t>Тема 2. Информационная компания в социальных сетях.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1)Определение информационной кампании в социальных сетях.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Информационная кампания (ИК) - это комплексная система мер воздействия на определённые группы населения с помощью различных средств и каналов массового и индивидуального информирования и обучения с целью побуждения к принятию новых, полезных для них самих и для общества, моделей поведения в определённой сфере жизни.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Разработка информационной кампании базируется на модели изменения поведения, согласно которой новая значимая информация, полученная человеком, становится для него стимулом к изменению поведения. Поэтому особое внимание в Кампании уделяется информации как основному способу воздействия на целевую группу.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2) Классификация информационных кампаний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по видам активности: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Медийны — кампании для реализации которых используются только СМИ.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Коммуникационные— кампании, используются не только СМИ, но другие коммуникационные ресурсы:листовки, прямые почтовые рассылки, средства наглядной агитации пр.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Комплексные—шествия, митинги.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по цели: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 xml:space="preserve">Стратегические— ориентированы на достижение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стратегических целей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 xml:space="preserve">, как то: сохранение и смена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конституционного строя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 xml:space="preserve">, достижение страной международного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 xml:space="preserve">авторитета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и т.п., и, как правило, отличаются большой протяжённостью во времени (длятся иногда годами).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Тактические — ориентированы на достижение 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тактических целей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, как то: обеспечение поддержки тех или иных программ, формирование 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имиджей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 политическим лидерам и их движениям и т.п.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по временной протяжённости: долговременност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ь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 xml:space="preserve"> и кратковременность кампании как правило зависит от 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цели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, на которую ориентирована информационная кампания.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по интенсивности: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Массированными называются информационные кампании, генерирующие беспрерывный поток информации, как то: 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предвыборные кампании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, кампании по подготовке 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референдума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.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Дискретными называются кампании, в ходе которых генерируется прерывистый поток информации.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>по распространённости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Глобальные кампании ориентированы на формирование 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общественного мнения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 в пределах 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страны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 и международного сообщества, или формирование 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массового сознания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 всего общества.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 xml:space="preserve">Локальные — ориентированные на конкретный регион или формирование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 xml:space="preserve">массового сознания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 xml:space="preserve">конкретной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ru-RU"/>
        </w:rPr>
        <w:t>социальной группы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3)Принципы организации эффективной информационной кампании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Кампания должна углублять знания, влиять на поведение и отношение целевой группы к тому или иному явлению. Нужно вызвать эмоциональный отклик на неё со стороны целевой группы и дать рекомендации о том, что можно предпринять в конкретных ситуациях.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Необходимо чётко обозначить целевую группу, на которую направлена информационная кампания. Сегментация (деление на более мелкие подгруппы) позволяет разработать сообщения, направленные на определённые целевые аудитории.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 xml:space="preserve">Идеи и послания (тексты, обращения, сообщения), используемые в информационной кампании, должны быть понятны той части населения, которой они адресованы. 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3) Разберём информационную компанию Евромайдан на примере её освещение в социальной сети vk.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В настоящее время любой конфликт имеет своё отражение в Интернете, и часто от образа в этом виртуальном «зеркале» зависит конечный результат противоборства соперничающих сторон. В «сетевой виртуальности» развиваются события решающего значения. Активное вовлечение в виртуальную среду многомиллионной аудитории человечества, формирование общественного мнения и манипулирование им позволяет глобально влиять на процессы противоборствующих сторон. Изменение оценок, позиций отдельных людей, от мнения которых зависит качество принимаемых решений, может создать условия для точечного управления различного рода событиями.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Классифицируем информационную компанию Евромайдан в социальной сети vk: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по видам активности:Медийные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по цели: Стр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а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тегические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по интенсивности: Глобальные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Что присутствует на страничке сообщества Евромайдан: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1)  Обсуждение участниками общество действий происходящих на Украине.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2)  Репортажи с мест событий.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3)  Фото, видео материалы.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4)  Реакция правительства Украины.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и т.д.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pPr/>
    <w:rPr>
      <w:b/>
      <w:bCs/>
      <w:sz w:val="32"/>
      <w:szCs w:val="32"/>
    </w:rPr>
  </w:style>
  <w:style w:type="paragraph" w:styleId="Heading2">
    <w:name w:val="Heading 2"/>
    <w:basedOn w:val="Heading"/>
    <w:pPr/>
    <w:rPr>
      <w:rFonts w:ascii="Liberation Serif" w:hAnsi="Liberation Serif" w:eastAsia="WenQuanYi Zen Hei Sharp" w:cs="Lohit Devanagari"/>
      <w:b/>
      <w:bCs/>
      <w:sz w:val="36"/>
      <w:szCs w:val="36"/>
    </w:rPr>
  </w:style>
  <w:style w:type="paragraph" w:styleId="Heading3">
    <w:name w:val="Heading 3"/>
    <w:basedOn w:val="Heading"/>
    <w:pPr/>
    <w:rPr>
      <w:b/>
      <w:bCs/>
      <w:sz w:val="28"/>
      <w:szCs w:val="28"/>
    </w:rPr>
  </w:style>
  <w:style w:type="paragraph" w:styleId="Heading4">
    <w:name w:val="Heading 4"/>
    <w:basedOn w:val="Heading"/>
    <w:pPr/>
    <w:rPr>
      <w:rFonts w:ascii="Liberation Serif" w:hAnsi="Liberation Serif" w:eastAsia="WenQuanYi Zen Hei Sharp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-" w:eastAsia="zxx-" w:bidi="zxx-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2014-02-25T15:03:17Z</dcterms:created>
  <dc:language>ru-RU</dc:language>
  <cp:revision>0</cp:revision>
</cp:coreProperties>
</file>