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209" w:rsidRDefault="00F33209" w:rsidP="00F33209">
      <w:pPr>
        <w:pStyle w:val="Heading1"/>
        <w:rPr>
          <w:lang w:val="en-US"/>
        </w:rPr>
      </w:pPr>
      <w:bookmarkStart w:id="0" w:name="_Toc365030377"/>
      <w:r>
        <w:rPr>
          <w:lang w:val="en-US"/>
        </w:rPr>
        <w:t>Alarm Matrix</w:t>
      </w:r>
      <w:bookmarkEnd w:id="0"/>
    </w:p>
    <w:p w:rsidR="00F33209" w:rsidRDefault="00F33209" w:rsidP="00F33209">
      <w:pPr>
        <w:pStyle w:val="Heading2"/>
        <w:rPr>
          <w:lang w:val="en-US"/>
        </w:rPr>
      </w:pPr>
      <w:bookmarkStart w:id="1" w:name="_Toc365030378"/>
      <w:r>
        <w:rPr>
          <w:lang w:val="en-US"/>
        </w:rPr>
        <w:t>Introduction</w:t>
      </w:r>
      <w:bookmarkEnd w:id="1"/>
    </w:p>
    <w:p w:rsidR="00F33209" w:rsidRDefault="00F33209" w:rsidP="00F33209">
      <w:pPr>
        <w:rPr>
          <w:lang w:val="en-US"/>
        </w:rPr>
      </w:pPr>
      <w:r>
        <w:rPr>
          <w:lang w:val="en-US"/>
        </w:rPr>
        <w:t xml:space="preserve">The alarm matrix defines which alarms will show on which workstation or panel, what a workstation or panel is allowed to do and which rights workstations or panels have. This all in sequential order and within range of class rules. </w:t>
      </w:r>
    </w:p>
    <w:p w:rsidR="00F33209" w:rsidRDefault="00F33209" w:rsidP="00F33209">
      <w:pPr>
        <w:rPr>
          <w:lang w:val="en-US"/>
        </w:rPr>
      </w:pPr>
    </w:p>
    <w:p w:rsidR="00F33209" w:rsidRDefault="00F33209" w:rsidP="00F33209">
      <w:pPr>
        <w:rPr>
          <w:lang w:val="en-US"/>
        </w:rPr>
      </w:pPr>
      <w:r>
        <w:rPr>
          <w:lang w:val="en-US"/>
        </w:rPr>
        <w:t>If you start up the system the first time, the matrix will be set to standard. If this is not the case you can remove the “AlarmPanels.uc.ini” out of the network folder and restart. The FT NavVision© program will start a new default matrix.</w:t>
      </w:r>
    </w:p>
    <w:p w:rsidR="00F33209" w:rsidRPr="009337B5" w:rsidRDefault="00F33209" w:rsidP="00F33209">
      <w:pPr>
        <w:rPr>
          <w:lang w:val="en-US"/>
        </w:rPr>
      </w:pPr>
    </w:p>
    <w:p w:rsidR="00F33209" w:rsidRDefault="00F33209" w:rsidP="00F33209">
      <w:pPr>
        <w:rPr>
          <w:lang w:val="en-US"/>
        </w:rPr>
      </w:pPr>
      <w:r>
        <w:rPr>
          <w:noProof/>
          <w:lang w:val="nl-NL" w:eastAsia="nl-NL"/>
        </w:rPr>
        <w:drawing>
          <wp:inline distT="0" distB="0" distL="0" distR="0" wp14:anchorId="3CC2226B" wp14:editId="7EAF24E1">
            <wp:extent cx="416379" cy="342900"/>
            <wp:effectExtent l="0" t="0" r="317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proofErr w:type="gramStart"/>
      <w:r>
        <w:rPr>
          <w:i/>
          <w:lang w:val="en-US"/>
        </w:rPr>
        <w:t>:although</w:t>
      </w:r>
      <w:proofErr w:type="gramEnd"/>
      <w:r>
        <w:rPr>
          <w:i/>
          <w:lang w:val="en-US"/>
        </w:rPr>
        <w:t xml:space="preserve"> an engineer or administrator can alter these settings, we at FT NavVision© will deliver the system within class rules. Any alteration is solely the responsibility of the administrator.</w:t>
      </w:r>
    </w:p>
    <w:p w:rsidR="00F33209" w:rsidRDefault="00F33209" w:rsidP="00F33209">
      <w:pPr>
        <w:pStyle w:val="Heading2"/>
        <w:rPr>
          <w:lang w:val="en-US"/>
        </w:rPr>
      </w:pPr>
      <w:bookmarkStart w:id="2" w:name="_Toc365030379"/>
      <w:r>
        <w:rPr>
          <w:lang w:val="en-US"/>
        </w:rPr>
        <w:t>The matrix</w:t>
      </w:r>
      <w:bookmarkEnd w:id="2"/>
    </w:p>
    <w:p w:rsidR="00F33209" w:rsidRDefault="00F33209" w:rsidP="00F33209">
      <w:pPr>
        <w:rPr>
          <w:lang w:val="en-US"/>
        </w:rPr>
      </w:pPr>
      <w:r>
        <w:rPr>
          <w:lang w:val="en-US"/>
        </w:rPr>
        <w:t xml:space="preserve">The matrix can be found in FT NavVision© under Tools/Alarm Stations (see </w:t>
      </w:r>
      <w:r>
        <w:rPr>
          <w:lang w:val="en-US"/>
        </w:rPr>
        <w:fldChar w:fldCharType="begin"/>
      </w:r>
      <w:r>
        <w:rPr>
          <w:lang w:val="en-US"/>
        </w:rPr>
        <w:instrText xml:space="preserve"> REF _Ref350863603 \h </w:instrText>
      </w:r>
      <w:r>
        <w:rPr>
          <w:lang w:val="en-US"/>
        </w:rPr>
      </w:r>
      <w:r>
        <w:rPr>
          <w:lang w:val="en-US"/>
        </w:rPr>
        <w:fldChar w:fldCharType="separate"/>
      </w:r>
      <w:r>
        <w:t xml:space="preserve">Figure </w:t>
      </w:r>
      <w:r>
        <w:rPr>
          <w:noProof/>
        </w:rPr>
        <w:t>9</w:t>
      </w:r>
      <w:r>
        <w:noBreakHyphen/>
      </w:r>
      <w:r>
        <w:rPr>
          <w:noProof/>
        </w:rPr>
        <w:t>1</w:t>
      </w:r>
      <w:r>
        <w:rPr>
          <w:lang w:val="en-US"/>
        </w:rPr>
        <w:fldChar w:fldCharType="end"/>
      </w:r>
      <w:r>
        <w:rPr>
          <w:lang w:val="en-US"/>
        </w:rPr>
        <w:t>).</w:t>
      </w:r>
    </w:p>
    <w:p w:rsidR="00F33209" w:rsidRDefault="00F33209" w:rsidP="00F33209">
      <w:pPr>
        <w:rPr>
          <w:lang w:val="en-US"/>
        </w:rPr>
      </w:pPr>
    </w:p>
    <w:p w:rsidR="00F33209" w:rsidRDefault="00F33209" w:rsidP="00F33209">
      <w:pPr>
        <w:rPr>
          <w:lang w:val="en-US"/>
        </w:rPr>
      </w:pPr>
      <w:r>
        <w:rPr>
          <w:noProof/>
          <w:lang w:val="nl-NL" w:eastAsia="nl-NL"/>
        </w:rPr>
        <w:drawing>
          <wp:inline distT="0" distB="0" distL="0" distR="0" wp14:anchorId="2026CCEB" wp14:editId="0B900C8B">
            <wp:extent cx="4561368" cy="4379030"/>
            <wp:effectExtent l="0" t="0" r="0"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2612" cy="4380224"/>
                    </a:xfrm>
                    <a:prstGeom prst="rect">
                      <a:avLst/>
                    </a:prstGeom>
                  </pic:spPr>
                </pic:pic>
              </a:graphicData>
            </a:graphic>
          </wp:inline>
        </w:drawing>
      </w:r>
    </w:p>
    <w:p w:rsidR="00F33209" w:rsidRDefault="00F33209" w:rsidP="00F33209">
      <w:pPr>
        <w:pStyle w:val="Onderschrift"/>
      </w:pPr>
      <w:bookmarkStart w:id="3" w:name="_Ref350863603"/>
      <w:bookmarkStart w:id="4" w:name="_Toc365030415"/>
      <w:r>
        <w:t xml:space="preserve">Figure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Figure \* ARABIC \s 1 </w:instrText>
      </w:r>
      <w:r>
        <w:fldChar w:fldCharType="separate"/>
      </w:r>
      <w:r>
        <w:rPr>
          <w:noProof/>
        </w:rPr>
        <w:t>1</w:t>
      </w:r>
      <w:r>
        <w:fldChar w:fldCharType="end"/>
      </w:r>
      <w:bookmarkEnd w:id="3"/>
      <w:r>
        <w:t>: Station Matrix</w:t>
      </w:r>
      <w:bookmarkEnd w:id="4"/>
    </w:p>
    <w:p w:rsidR="00F33209" w:rsidRPr="00A72237" w:rsidRDefault="00F33209" w:rsidP="00F33209">
      <w:pPr>
        <w:rPr>
          <w:lang w:val="en-US"/>
        </w:rPr>
      </w:pPr>
    </w:p>
    <w:p w:rsidR="00F33209" w:rsidRDefault="00F33209" w:rsidP="00F33209">
      <w:r>
        <w:t>As you can see the default settings are already in place. Things you cannot do are protected and will show a grey line. Additional settings that are allowed are shown with a red line.</w:t>
      </w:r>
    </w:p>
    <w:p w:rsidR="00F33209" w:rsidRDefault="00F33209" w:rsidP="00F33209">
      <w:pPr>
        <w:pStyle w:val="Heading4"/>
        <w:rPr>
          <w:lang w:val="en-US"/>
        </w:rPr>
      </w:pPr>
      <w:bookmarkStart w:id="5" w:name="_Toc275956027"/>
      <w:bookmarkStart w:id="6" w:name="_Toc349643906"/>
      <w:bookmarkStart w:id="7" w:name="_Toc365030380"/>
      <w:r>
        <w:rPr>
          <w:lang w:val="en-US"/>
        </w:rPr>
        <w:lastRenderedPageBreak/>
        <w:t>This station</w:t>
      </w:r>
      <w:bookmarkEnd w:id="5"/>
      <w:bookmarkEnd w:id="6"/>
      <w:bookmarkEnd w:id="7"/>
    </w:p>
    <w:p w:rsidR="00F33209" w:rsidRDefault="00F33209" w:rsidP="00F33209">
      <w:pPr>
        <w:rPr>
          <w:lang w:val="en-US"/>
        </w:rPr>
      </w:pPr>
      <w:r>
        <w:rPr>
          <w:lang w:val="en-US"/>
        </w:rPr>
        <w:t>Defines the station this computer is set on. All the alarm settings of that station are also valid for the PC screen you are working on. If set to “Not Assigned” no specific alarm restriction is set. All alarms will be visible and can be silenced or acknowledged.</w:t>
      </w:r>
    </w:p>
    <w:p w:rsidR="00F33209" w:rsidRDefault="00F33209" w:rsidP="00F33209">
      <w:pPr>
        <w:pStyle w:val="Heading4"/>
        <w:rPr>
          <w:lang w:val="en-US"/>
        </w:rPr>
      </w:pPr>
      <w:bookmarkStart w:id="8" w:name="_Toc349643907"/>
      <w:bookmarkStart w:id="9" w:name="_Toc365030381"/>
      <w:r>
        <w:rPr>
          <w:lang w:val="en-US"/>
        </w:rPr>
        <w:t>Is fallback for</w:t>
      </w:r>
      <w:bookmarkEnd w:id="8"/>
      <w:bookmarkEnd w:id="9"/>
    </w:p>
    <w:p w:rsidR="00F33209" w:rsidRDefault="00F33209" w:rsidP="00F33209">
      <w:pPr>
        <w:rPr>
          <w:lang w:val="en-US"/>
        </w:rPr>
      </w:pPr>
      <w:r>
        <w:rPr>
          <w:lang w:val="en-US"/>
        </w:rPr>
        <w:t>This defines which rights this computer will get once the station set in this box is not working. If this would be the wheelhouse pc it could be a fallback station for the engine room. When the engine room pc should be out for whatever reason, the wheelhouse station will take over the tasks and rights of the engine room pc. This way all the important tasks can still be handled.</w:t>
      </w:r>
    </w:p>
    <w:p w:rsidR="00F33209" w:rsidRDefault="00F33209" w:rsidP="00F33209">
      <w:pPr>
        <w:pStyle w:val="Heading4"/>
        <w:rPr>
          <w:lang w:val="en-US"/>
        </w:rPr>
      </w:pPr>
      <w:bookmarkStart w:id="10" w:name="_Toc349643908"/>
      <w:bookmarkStart w:id="11" w:name="_Toc365030382"/>
      <w:r>
        <w:rPr>
          <w:lang w:val="en-US"/>
        </w:rPr>
        <w:t>Show all alarm stations</w:t>
      </w:r>
      <w:bookmarkEnd w:id="10"/>
      <w:bookmarkEnd w:id="11"/>
    </w:p>
    <w:p w:rsidR="00F33209" w:rsidRDefault="00F33209" w:rsidP="00F33209">
      <w:pPr>
        <w:rPr>
          <w:lang w:val="en-US"/>
        </w:rPr>
      </w:pPr>
      <w:r>
        <w:rPr>
          <w:lang w:val="en-US"/>
        </w:rPr>
        <w:t>Ticking this box switches between showing all, or all available Alarmstations.</w:t>
      </w:r>
    </w:p>
    <w:p w:rsidR="00F33209" w:rsidRDefault="00F33209" w:rsidP="00F33209">
      <w:pPr>
        <w:pStyle w:val="Heading4"/>
        <w:rPr>
          <w:lang w:val="en-US"/>
        </w:rPr>
      </w:pPr>
      <w:bookmarkStart w:id="12" w:name="_Toc349643909"/>
      <w:bookmarkStart w:id="13" w:name="_Toc365030383"/>
      <w:r>
        <w:rPr>
          <w:lang w:val="en-US"/>
        </w:rPr>
        <w:t>Alarm group rights/Duty alarm rights</w:t>
      </w:r>
      <w:bookmarkEnd w:id="12"/>
      <w:bookmarkEnd w:id="13"/>
    </w:p>
    <w:p w:rsidR="00F33209" w:rsidRPr="00977D95" w:rsidRDefault="00F33209" w:rsidP="00F33209">
      <w:pPr>
        <w:rPr>
          <w:lang w:val="en-US"/>
        </w:rPr>
      </w:pPr>
      <w:r>
        <w:rPr>
          <w:lang w:val="en-US"/>
        </w:rPr>
        <w:t>Choose either of these two to switch between changing alarm group rights or duty alarm rights.</w:t>
      </w:r>
    </w:p>
    <w:p w:rsidR="00F33209" w:rsidRDefault="00F33209" w:rsidP="00F33209">
      <w:pPr>
        <w:pStyle w:val="Heading4"/>
        <w:rPr>
          <w:lang w:val="en-US"/>
        </w:rPr>
      </w:pPr>
      <w:bookmarkStart w:id="14" w:name="_Toc275956028"/>
      <w:bookmarkStart w:id="15" w:name="_Toc349643910"/>
      <w:bookmarkStart w:id="16" w:name="_Toc365030384"/>
      <w:r>
        <w:rPr>
          <w:lang w:val="en-US"/>
        </w:rPr>
        <w:t>Adjustments</w:t>
      </w:r>
      <w:bookmarkEnd w:id="14"/>
      <w:bookmarkEnd w:id="15"/>
      <w:bookmarkEnd w:id="16"/>
    </w:p>
    <w:p w:rsidR="00F33209" w:rsidRDefault="00F33209" w:rsidP="00F33209">
      <w:pPr>
        <w:pStyle w:val="Text"/>
        <w:rPr>
          <w:lang w:val="en-US"/>
        </w:rPr>
      </w:pPr>
      <w:r>
        <w:rPr>
          <w:lang w:val="en-US"/>
        </w:rPr>
        <w:t>On the left pane you can choose the alarm station to be adjusted. The adjustments will only be valid for that particular station. When you choose to set this station (i.e. Alarm station bridge) on an alarm panel or another Server</w:t>
      </w:r>
      <w:r>
        <w:rPr>
          <w:lang w:val="en-US"/>
        </w:rPr>
        <w:fldChar w:fldCharType="begin"/>
      </w:r>
      <w:r>
        <w:rPr>
          <w:lang w:val="en-US"/>
        </w:rPr>
        <w:instrText xml:space="preserve"> XE "</w:instrText>
      </w:r>
      <w:r>
        <w:instrText>Server"</w:instrText>
      </w:r>
      <w:r>
        <w:rPr>
          <w:lang w:val="en-US"/>
        </w:rPr>
        <w:instrText xml:space="preserve"> </w:instrText>
      </w:r>
      <w:r>
        <w:rPr>
          <w:lang w:val="en-US"/>
        </w:rPr>
        <w:fldChar w:fldCharType="end"/>
      </w:r>
      <w:r>
        <w:rPr>
          <w:lang w:val="en-US"/>
        </w:rPr>
        <w:t xml:space="preserve"> or client, these will have the same settings automatically.</w:t>
      </w:r>
    </w:p>
    <w:p w:rsidR="00F33209" w:rsidRDefault="00F33209" w:rsidP="00F33209">
      <w:pPr>
        <w:pStyle w:val="Text"/>
        <w:rPr>
          <w:b/>
          <w:lang w:val="en-US"/>
        </w:rPr>
      </w:pPr>
    </w:p>
    <w:p w:rsidR="00F33209" w:rsidRPr="00CC6A63" w:rsidRDefault="00F33209" w:rsidP="00F33209">
      <w:pPr>
        <w:pStyle w:val="Text"/>
        <w:rPr>
          <w:i/>
          <w:lang w:val="en-US"/>
        </w:rPr>
      </w:pPr>
      <w:r>
        <w:rPr>
          <w:noProof/>
          <w:lang w:val="nl-NL" w:eastAsia="nl-NL"/>
        </w:rPr>
        <w:drawing>
          <wp:inline distT="0" distB="0" distL="0" distR="0" wp14:anchorId="303DFAAD" wp14:editId="54C691F1">
            <wp:extent cx="416379" cy="342900"/>
            <wp:effectExtent l="0" t="0" r="3175" b="0"/>
            <wp:docPr id="155" name="Afbeelding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lang w:val="en-US"/>
        </w:rPr>
        <w:t>:</w:t>
      </w:r>
    </w:p>
    <w:p w:rsidR="00F33209" w:rsidRPr="00CC6A63" w:rsidRDefault="00F33209" w:rsidP="00F33209">
      <w:pPr>
        <w:pStyle w:val="Text"/>
        <w:rPr>
          <w:i/>
          <w:lang w:val="en-US"/>
        </w:rPr>
      </w:pPr>
      <w:r w:rsidRPr="00CC6A63">
        <w:rPr>
          <w:i/>
          <w:lang w:val="en-US"/>
        </w:rPr>
        <w:t xml:space="preserve">All the settings in the diverse </w:t>
      </w:r>
      <w:r>
        <w:rPr>
          <w:i/>
          <w:lang w:val="en-US"/>
        </w:rPr>
        <w:t>a</w:t>
      </w:r>
      <w:r w:rsidRPr="00CC6A63">
        <w:rPr>
          <w:i/>
          <w:lang w:val="en-US"/>
        </w:rPr>
        <w:t xml:space="preserve">larm stations will automatically be </w:t>
      </w:r>
      <w:r>
        <w:rPr>
          <w:i/>
          <w:lang w:val="en-US"/>
        </w:rPr>
        <w:t>synchronized to</w:t>
      </w:r>
      <w:r w:rsidRPr="00CC6A63">
        <w:rPr>
          <w:i/>
          <w:lang w:val="en-US"/>
        </w:rPr>
        <w:t xml:space="preserve"> all the other pc’s (servers and clients) which are connected. Y</w:t>
      </w:r>
      <w:r>
        <w:rPr>
          <w:i/>
          <w:lang w:val="en-US"/>
        </w:rPr>
        <w:t>ou won’t have to change all PC’s</w:t>
      </w:r>
      <w:r w:rsidRPr="00CC6A63">
        <w:rPr>
          <w:i/>
          <w:lang w:val="en-US"/>
        </w:rPr>
        <w:t xml:space="preserve"> separately. </w:t>
      </w:r>
      <w:r>
        <w:rPr>
          <w:i/>
          <w:lang w:val="en-US"/>
        </w:rPr>
        <w:t>On</w:t>
      </w:r>
      <w:r w:rsidRPr="00CC6A63">
        <w:rPr>
          <w:i/>
          <w:lang w:val="en-US"/>
        </w:rPr>
        <w:t xml:space="preserve"> the left pane</w:t>
      </w:r>
      <w:r>
        <w:rPr>
          <w:i/>
          <w:lang w:val="en-US"/>
        </w:rPr>
        <w:t>l</w:t>
      </w:r>
      <w:r w:rsidRPr="00CC6A63">
        <w:rPr>
          <w:i/>
          <w:lang w:val="en-US"/>
        </w:rPr>
        <w:t xml:space="preserve"> you will find all the groups that are available in the system. </w:t>
      </w:r>
      <w:r>
        <w:rPr>
          <w:i/>
          <w:lang w:val="en-US"/>
        </w:rPr>
        <w:br/>
      </w:r>
      <w:r w:rsidRPr="00CC6A63">
        <w:rPr>
          <w:i/>
          <w:lang w:val="en-US"/>
        </w:rPr>
        <w:t xml:space="preserve">Groups that are in </w:t>
      </w:r>
      <w:r>
        <w:rPr>
          <w:i/>
          <w:lang w:val="en-US"/>
        </w:rPr>
        <w:t>use by the system are shown</w:t>
      </w:r>
      <w:r w:rsidRPr="00CC6A63">
        <w:rPr>
          <w:i/>
          <w:lang w:val="en-US"/>
        </w:rPr>
        <w:t xml:space="preserve"> </w:t>
      </w:r>
      <w:r>
        <w:rPr>
          <w:i/>
          <w:lang w:val="en-US"/>
        </w:rPr>
        <w:t>in the right pane</w:t>
      </w:r>
      <w:r w:rsidRPr="00CC6A63">
        <w:rPr>
          <w:i/>
          <w:lang w:val="en-US"/>
        </w:rPr>
        <w:t>. Other gro</w:t>
      </w:r>
      <w:r>
        <w:rPr>
          <w:i/>
          <w:lang w:val="en-US"/>
        </w:rPr>
        <w:t>ups will not be available. Y</w:t>
      </w:r>
      <w:r w:rsidRPr="00CC6A63">
        <w:rPr>
          <w:i/>
          <w:lang w:val="en-US"/>
        </w:rPr>
        <w:t>ou can</w:t>
      </w:r>
      <w:r>
        <w:rPr>
          <w:i/>
          <w:lang w:val="en-US"/>
        </w:rPr>
        <w:t xml:space="preserve"> set the alarm options for each separate group.</w:t>
      </w:r>
    </w:p>
    <w:p w:rsidR="00F33209" w:rsidRPr="00CC6A63" w:rsidRDefault="00F33209" w:rsidP="00F33209">
      <w:pPr>
        <w:pStyle w:val="Text"/>
        <w:rPr>
          <w:i/>
          <w:lang w:val="en-US"/>
        </w:rPr>
      </w:pPr>
      <w:r>
        <w:rPr>
          <w:i/>
          <w:lang w:val="en-US"/>
        </w:rPr>
        <w:t xml:space="preserve">When finished, all </w:t>
      </w:r>
      <w:r w:rsidRPr="00CC6A63">
        <w:rPr>
          <w:i/>
          <w:lang w:val="en-US"/>
        </w:rPr>
        <w:t xml:space="preserve">alarm options of each alarm group will be set within the specific </w:t>
      </w:r>
      <w:r>
        <w:rPr>
          <w:i/>
          <w:lang w:val="en-US"/>
        </w:rPr>
        <w:t>a</w:t>
      </w:r>
      <w:r w:rsidRPr="00CC6A63">
        <w:rPr>
          <w:i/>
          <w:lang w:val="en-US"/>
        </w:rPr>
        <w:t>larm</w:t>
      </w:r>
      <w:r>
        <w:rPr>
          <w:i/>
          <w:lang w:val="en-US"/>
        </w:rPr>
        <w:t xml:space="preserve"> </w:t>
      </w:r>
      <w:r w:rsidRPr="00CC6A63">
        <w:rPr>
          <w:i/>
          <w:lang w:val="en-US"/>
        </w:rPr>
        <w:t>stations.</w:t>
      </w:r>
    </w:p>
    <w:p w:rsidR="00F33209" w:rsidRDefault="00F33209" w:rsidP="00F33209">
      <w:pPr>
        <w:rPr>
          <w:lang w:val="en-US"/>
        </w:rPr>
      </w:pPr>
    </w:p>
    <w:p w:rsidR="00F33209" w:rsidRDefault="00F33209" w:rsidP="00F33209">
      <w:pPr>
        <w:rPr>
          <w:lang w:val="en-US"/>
        </w:rPr>
      </w:pPr>
      <w:r>
        <w:rPr>
          <w:lang w:val="en-US"/>
        </w:rPr>
        <w:t>The following options are available for Alarm Group Rights:</w:t>
      </w:r>
    </w:p>
    <w:p w:rsidR="00F33209" w:rsidRDefault="00F33209" w:rsidP="00F33209">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44"/>
        <w:gridCol w:w="6718"/>
      </w:tblGrid>
      <w:tr w:rsidR="00F33209" w:rsidRPr="00281C08" w:rsidTr="00E07E33">
        <w:tc>
          <w:tcPr>
            <w:tcW w:w="2376" w:type="dxa"/>
            <w:shd w:val="clear" w:color="auto" w:fill="0C0C0C"/>
          </w:tcPr>
          <w:p w:rsidR="00F33209" w:rsidRPr="00281C08" w:rsidRDefault="00F33209" w:rsidP="00E07E33">
            <w:pPr>
              <w:rPr>
                <w:b/>
                <w:lang w:val="en-US"/>
              </w:rPr>
            </w:pPr>
            <w:r w:rsidRPr="00281C08">
              <w:rPr>
                <w:b/>
                <w:lang w:val="en-US"/>
              </w:rPr>
              <w:t>Alarm group option</w:t>
            </w:r>
          </w:p>
        </w:tc>
        <w:tc>
          <w:tcPr>
            <w:tcW w:w="6836" w:type="dxa"/>
            <w:shd w:val="clear" w:color="auto" w:fill="0C0C0C"/>
          </w:tcPr>
          <w:p w:rsidR="00F33209" w:rsidRPr="00281C08" w:rsidRDefault="00F33209" w:rsidP="00E07E33">
            <w:pPr>
              <w:rPr>
                <w:b/>
                <w:lang w:val="en-US"/>
              </w:rPr>
            </w:pPr>
            <w:r w:rsidRPr="00281C08">
              <w:rPr>
                <w:b/>
                <w:lang w:val="en-US"/>
              </w:rPr>
              <w:t xml:space="preserve">Explanation </w:t>
            </w:r>
          </w:p>
        </w:tc>
      </w:tr>
      <w:tr w:rsidR="00F33209" w:rsidRPr="000F200F" w:rsidTr="00E07E33">
        <w:tc>
          <w:tcPr>
            <w:tcW w:w="2376" w:type="dxa"/>
          </w:tcPr>
          <w:p w:rsidR="00F33209" w:rsidRPr="009417AF" w:rsidRDefault="00F33209" w:rsidP="00E07E33">
            <w:pPr>
              <w:rPr>
                <w:lang w:val="en-US"/>
              </w:rPr>
            </w:pPr>
            <w:r w:rsidRPr="009417AF">
              <w:rPr>
                <w:lang w:val="en-US"/>
              </w:rPr>
              <w:t>Visual: status alarms</w:t>
            </w:r>
          </w:p>
        </w:tc>
        <w:tc>
          <w:tcPr>
            <w:tcW w:w="6836" w:type="dxa"/>
          </w:tcPr>
          <w:p w:rsidR="00F33209" w:rsidRPr="009417AF" w:rsidRDefault="00F33209" w:rsidP="00E07E33">
            <w:pPr>
              <w:rPr>
                <w:lang w:val="en-US"/>
              </w:rPr>
            </w:pPr>
            <w:r w:rsidRPr="009417AF">
              <w:rPr>
                <w:lang w:val="en-US"/>
              </w:rPr>
              <w:t>Shows any alarm even if it is acknowledged</w:t>
            </w:r>
          </w:p>
        </w:tc>
      </w:tr>
      <w:tr w:rsidR="00F33209" w:rsidRPr="000F200F" w:rsidTr="00E07E33">
        <w:tc>
          <w:tcPr>
            <w:tcW w:w="2376" w:type="dxa"/>
          </w:tcPr>
          <w:p w:rsidR="00F33209" w:rsidRPr="009417AF" w:rsidRDefault="00F33209" w:rsidP="00E07E33">
            <w:pPr>
              <w:rPr>
                <w:lang w:val="en-US"/>
              </w:rPr>
            </w:pPr>
            <w:r w:rsidRPr="009417AF">
              <w:rPr>
                <w:lang w:val="en-US"/>
              </w:rPr>
              <w:t>Visual: new alarms</w:t>
            </w:r>
          </w:p>
        </w:tc>
        <w:tc>
          <w:tcPr>
            <w:tcW w:w="6836" w:type="dxa"/>
          </w:tcPr>
          <w:p w:rsidR="00F33209" w:rsidRPr="009417AF" w:rsidRDefault="00F33209" w:rsidP="00E07E33">
            <w:pPr>
              <w:rPr>
                <w:lang w:val="en-US"/>
              </w:rPr>
            </w:pPr>
            <w:r w:rsidRPr="009417AF">
              <w:rPr>
                <w:lang w:val="en-US"/>
              </w:rPr>
              <w:t>Shows new alarms for this group</w:t>
            </w:r>
          </w:p>
        </w:tc>
      </w:tr>
      <w:tr w:rsidR="00F33209" w:rsidRPr="000F200F" w:rsidTr="00E07E33">
        <w:tc>
          <w:tcPr>
            <w:tcW w:w="2376" w:type="dxa"/>
          </w:tcPr>
          <w:p w:rsidR="00F33209" w:rsidRPr="009417AF" w:rsidRDefault="00F33209" w:rsidP="00E07E33">
            <w:pPr>
              <w:rPr>
                <w:lang w:val="en-US"/>
              </w:rPr>
            </w:pPr>
            <w:r w:rsidRPr="009417AF">
              <w:rPr>
                <w:lang w:val="en-US"/>
              </w:rPr>
              <w:t>Buzzer: new alarms</w:t>
            </w:r>
          </w:p>
        </w:tc>
        <w:tc>
          <w:tcPr>
            <w:tcW w:w="6836" w:type="dxa"/>
          </w:tcPr>
          <w:p w:rsidR="00F33209" w:rsidRPr="009417AF" w:rsidRDefault="00F33209" w:rsidP="00E07E33">
            <w:pPr>
              <w:rPr>
                <w:lang w:val="en-US"/>
              </w:rPr>
            </w:pPr>
            <w:r w:rsidRPr="009417AF">
              <w:rPr>
                <w:lang w:val="en-US"/>
              </w:rPr>
              <w:t>Sounds buzzer on new alarms for this group</w:t>
            </w:r>
          </w:p>
        </w:tc>
      </w:tr>
      <w:tr w:rsidR="00F33209" w:rsidRPr="000F200F" w:rsidTr="00E07E33">
        <w:tc>
          <w:tcPr>
            <w:tcW w:w="2376" w:type="dxa"/>
          </w:tcPr>
          <w:p w:rsidR="00F33209" w:rsidRPr="009417AF" w:rsidRDefault="00F33209" w:rsidP="00E07E33">
            <w:pPr>
              <w:rPr>
                <w:lang w:val="en-US"/>
              </w:rPr>
            </w:pPr>
            <w:r w:rsidRPr="009417AF">
              <w:rPr>
                <w:lang w:val="en-US"/>
              </w:rPr>
              <w:t>Switch: silence alarms</w:t>
            </w:r>
          </w:p>
        </w:tc>
        <w:tc>
          <w:tcPr>
            <w:tcW w:w="6836" w:type="dxa"/>
          </w:tcPr>
          <w:p w:rsidR="00F33209" w:rsidRPr="009417AF" w:rsidRDefault="00F33209" w:rsidP="00E07E33">
            <w:pPr>
              <w:rPr>
                <w:lang w:val="en-US"/>
              </w:rPr>
            </w:pPr>
            <w:r w:rsidRPr="009417AF">
              <w:rPr>
                <w:lang w:val="en-US"/>
              </w:rPr>
              <w:t>Allows to silence the alarms for this group</w:t>
            </w:r>
          </w:p>
        </w:tc>
      </w:tr>
      <w:tr w:rsidR="00F33209" w:rsidRPr="000F200F" w:rsidTr="00E07E33">
        <w:tc>
          <w:tcPr>
            <w:tcW w:w="2376" w:type="dxa"/>
          </w:tcPr>
          <w:p w:rsidR="00F33209" w:rsidRPr="009417AF" w:rsidRDefault="00F33209" w:rsidP="00E07E33">
            <w:pPr>
              <w:rPr>
                <w:lang w:val="en-US"/>
              </w:rPr>
            </w:pPr>
            <w:r w:rsidRPr="009417AF">
              <w:rPr>
                <w:lang w:val="en-US"/>
              </w:rPr>
              <w:t>Switch: reset alarms</w:t>
            </w:r>
          </w:p>
        </w:tc>
        <w:tc>
          <w:tcPr>
            <w:tcW w:w="6836" w:type="dxa"/>
          </w:tcPr>
          <w:p w:rsidR="00F33209" w:rsidRPr="009417AF" w:rsidRDefault="00F33209" w:rsidP="00E07E33">
            <w:pPr>
              <w:rPr>
                <w:lang w:val="en-US"/>
              </w:rPr>
            </w:pPr>
            <w:r w:rsidRPr="009417AF">
              <w:rPr>
                <w:lang w:val="en-US"/>
              </w:rPr>
              <w:t>Allows to acknowledge the alarms for this group</w:t>
            </w:r>
          </w:p>
        </w:tc>
      </w:tr>
      <w:tr w:rsidR="00F33209" w:rsidRPr="000F200F" w:rsidTr="00E07E33">
        <w:tc>
          <w:tcPr>
            <w:tcW w:w="2376" w:type="dxa"/>
          </w:tcPr>
          <w:p w:rsidR="00F33209" w:rsidRPr="009417AF" w:rsidRDefault="00F33209" w:rsidP="00E07E33">
            <w:pPr>
              <w:rPr>
                <w:lang w:val="en-US"/>
              </w:rPr>
            </w:pPr>
            <w:r w:rsidRPr="009417AF">
              <w:rPr>
                <w:lang w:val="en-US"/>
              </w:rPr>
              <w:t>Switch: reset timers</w:t>
            </w:r>
          </w:p>
        </w:tc>
        <w:tc>
          <w:tcPr>
            <w:tcW w:w="6836" w:type="dxa"/>
          </w:tcPr>
          <w:p w:rsidR="00F33209" w:rsidRPr="009417AF" w:rsidRDefault="00F33209" w:rsidP="00E07E33">
            <w:pPr>
              <w:rPr>
                <w:lang w:val="en-US"/>
              </w:rPr>
            </w:pPr>
            <w:r w:rsidRPr="009417AF">
              <w:rPr>
                <w:lang w:val="en-US"/>
              </w:rPr>
              <w:t>Allows resetting of timers (i.e. dead man’s timer)</w:t>
            </w:r>
          </w:p>
        </w:tc>
      </w:tr>
    </w:tbl>
    <w:p w:rsidR="00F33209" w:rsidRDefault="00F33209" w:rsidP="00F33209">
      <w:pPr>
        <w:pStyle w:val="Onderschrift"/>
      </w:pPr>
      <w:bookmarkStart w:id="17" w:name="_Toc365030420"/>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1</w:t>
      </w:r>
      <w:r>
        <w:fldChar w:fldCharType="end"/>
      </w:r>
      <w:r>
        <w:t>: Alarm Group Rights</w:t>
      </w:r>
      <w:bookmarkEnd w:id="17"/>
    </w:p>
    <w:p w:rsidR="00F33209" w:rsidRDefault="00F33209" w:rsidP="00F33209">
      <w:pPr>
        <w:pStyle w:val="Heading4"/>
        <w:rPr>
          <w:lang w:val="en-US"/>
        </w:rPr>
      </w:pPr>
      <w:bookmarkStart w:id="18" w:name="_Toc275956029"/>
      <w:bookmarkStart w:id="19" w:name="_Toc349643911"/>
      <w:bookmarkStart w:id="20" w:name="_Toc365030385"/>
      <w:r>
        <w:rPr>
          <w:lang w:val="en-US"/>
        </w:rPr>
        <w:t>How to set</w:t>
      </w:r>
      <w:bookmarkEnd w:id="18"/>
      <w:bookmarkEnd w:id="19"/>
      <w:r>
        <w:rPr>
          <w:lang w:val="en-US"/>
        </w:rPr>
        <w:t xml:space="preserve"> Alarm Group Rights</w:t>
      </w:r>
      <w:bookmarkEnd w:id="20"/>
    </w:p>
    <w:p w:rsidR="00F33209" w:rsidRDefault="00F33209" w:rsidP="00F33209">
      <w:pPr>
        <w:rPr>
          <w:lang w:val="en-US"/>
        </w:rPr>
      </w:pPr>
      <w:r>
        <w:rPr>
          <w:lang w:val="en-US"/>
        </w:rPr>
        <w:t xml:space="preserve">Fields are set separately by pointing the mouse onto that field and right click it. The “Reset” fields will turn to “+” and the other fields will turn to “0” which simultaneously means that the delay is set to “0” minutes. </w:t>
      </w:r>
    </w:p>
    <w:p w:rsidR="00F33209" w:rsidRDefault="00F33209" w:rsidP="00F33209">
      <w:pPr>
        <w:rPr>
          <w:lang w:val="en-US"/>
        </w:rPr>
      </w:pPr>
    </w:p>
    <w:p w:rsidR="00F33209" w:rsidRDefault="00F33209" w:rsidP="00F33209">
      <w:pPr>
        <w:rPr>
          <w:lang w:val="en-US"/>
        </w:rPr>
      </w:pPr>
      <w:r>
        <w:rPr>
          <w:noProof/>
          <w:lang w:val="nl-NL" w:eastAsia="nl-NL"/>
        </w:rPr>
        <w:lastRenderedPageBreak/>
        <w:drawing>
          <wp:inline distT="0" distB="0" distL="0" distR="0" wp14:anchorId="60D9B53F" wp14:editId="1B0B24E7">
            <wp:extent cx="1695450" cy="1524000"/>
            <wp:effectExtent l="19050" t="0" r="0" b="0"/>
            <wp:docPr id="46"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7" cstate="print"/>
                    <a:srcRect/>
                    <a:stretch>
                      <a:fillRect/>
                    </a:stretch>
                  </pic:blipFill>
                  <pic:spPr bwMode="auto">
                    <a:xfrm>
                      <a:off x="0" y="0"/>
                      <a:ext cx="1695450" cy="1524000"/>
                    </a:xfrm>
                    <a:prstGeom prst="rect">
                      <a:avLst/>
                    </a:prstGeom>
                    <a:noFill/>
                    <a:ln w="9525">
                      <a:noFill/>
                      <a:miter lim="800000"/>
                      <a:headEnd/>
                      <a:tailEnd/>
                    </a:ln>
                  </pic:spPr>
                </pic:pic>
              </a:graphicData>
            </a:graphic>
          </wp:inline>
        </w:drawing>
      </w:r>
      <w:r>
        <w:rPr>
          <w:lang w:val="en-US"/>
        </w:rPr>
        <w:t xml:space="preserve"> </w:t>
      </w:r>
    </w:p>
    <w:p w:rsidR="00F33209" w:rsidRDefault="00F33209" w:rsidP="00F33209">
      <w:pPr>
        <w:rPr>
          <w:lang w:val="en-US"/>
        </w:rPr>
      </w:pPr>
    </w:p>
    <w:p w:rsidR="00F33209" w:rsidRDefault="00F33209" w:rsidP="00F33209">
      <w:pPr>
        <w:rPr>
          <w:lang w:val="en-US"/>
        </w:rPr>
      </w:pPr>
      <w:r>
        <w:rPr>
          <w:lang w:val="en-US"/>
        </w:rPr>
        <w:t>If you want to set a field to a higher delay (i.e. you want to silence an alarm for 3 minutes) you must left click the field. A menu will appear where you can change the settings including the delay time. Check “Enable the selected cells” and choose a delay time. You can choose the delay time in minutes or seconds by checking the appropriate box (see</w:t>
      </w:r>
      <w:r>
        <w:rPr>
          <w:lang w:val="en-US"/>
        </w:rPr>
        <w:fldChar w:fldCharType="begin"/>
      </w:r>
      <w:r>
        <w:rPr>
          <w:lang w:val="en-US"/>
        </w:rPr>
        <w:instrText xml:space="preserve"> REF _Ref333481090 \h </w:instrText>
      </w:r>
      <w:r>
        <w:rPr>
          <w:lang w:val="en-US"/>
        </w:rPr>
      </w:r>
      <w:r>
        <w:rPr>
          <w:lang w:val="en-US"/>
        </w:rPr>
        <w:fldChar w:fldCharType="separate"/>
      </w:r>
      <w:r w:rsidRPr="00D92197">
        <w:t xml:space="preserve">Figure </w:t>
      </w:r>
      <w:r>
        <w:rPr>
          <w:noProof/>
        </w:rPr>
        <w:t>9</w:t>
      </w:r>
      <w:r>
        <w:noBreakHyphen/>
      </w:r>
      <w:r>
        <w:rPr>
          <w:noProof/>
        </w:rPr>
        <w:t>2</w:t>
      </w:r>
      <w:r>
        <w:rPr>
          <w:lang w:val="en-US"/>
        </w:rPr>
        <w:fldChar w:fldCharType="end"/>
      </w:r>
      <w:r>
        <w:rPr>
          <w:lang w:val="en-US"/>
        </w:rPr>
        <w:t>).</w:t>
      </w:r>
    </w:p>
    <w:p w:rsidR="00F33209" w:rsidRDefault="00F33209" w:rsidP="00F33209">
      <w:pPr>
        <w:rPr>
          <w:lang w:val="en-US"/>
        </w:rPr>
      </w:pPr>
    </w:p>
    <w:p w:rsidR="00F33209" w:rsidRDefault="00F33209" w:rsidP="00F33209">
      <w:pPr>
        <w:keepNext/>
      </w:pPr>
      <w:r>
        <w:rPr>
          <w:noProof/>
          <w:lang w:val="nl-NL" w:eastAsia="nl-NL"/>
        </w:rPr>
        <w:drawing>
          <wp:inline distT="0" distB="0" distL="0" distR="0" wp14:anchorId="159384CB" wp14:editId="575A0F2D">
            <wp:extent cx="5939790" cy="1676605"/>
            <wp:effectExtent l="0" t="0" r="381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1676605"/>
                    </a:xfrm>
                    <a:prstGeom prst="rect">
                      <a:avLst/>
                    </a:prstGeom>
                  </pic:spPr>
                </pic:pic>
              </a:graphicData>
            </a:graphic>
          </wp:inline>
        </w:drawing>
      </w:r>
    </w:p>
    <w:p w:rsidR="00F33209" w:rsidRPr="00D92197" w:rsidRDefault="00F33209" w:rsidP="00F33209">
      <w:pPr>
        <w:pStyle w:val="Onderschrift"/>
      </w:pPr>
      <w:bookmarkStart w:id="21" w:name="_Ref333481090"/>
      <w:bookmarkStart w:id="22" w:name="_Toc349644128"/>
      <w:bookmarkStart w:id="23" w:name="_Toc365030416"/>
      <w:r w:rsidRPr="00D92197">
        <w:t xml:space="preserve">Figure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Figure \* ARABIC \s 1 </w:instrText>
      </w:r>
      <w:r>
        <w:fldChar w:fldCharType="separate"/>
      </w:r>
      <w:r>
        <w:rPr>
          <w:noProof/>
        </w:rPr>
        <w:t>2</w:t>
      </w:r>
      <w:r>
        <w:fldChar w:fldCharType="end"/>
      </w:r>
      <w:bookmarkEnd w:id="21"/>
      <w:r w:rsidRPr="00D92197">
        <w:t>: Alarm station settings</w:t>
      </w:r>
      <w:bookmarkEnd w:id="22"/>
      <w:bookmarkEnd w:id="23"/>
    </w:p>
    <w:p w:rsidR="00F33209" w:rsidRDefault="00F33209" w:rsidP="00F33209">
      <w:pPr>
        <w:rPr>
          <w:lang w:val="en-US"/>
        </w:rPr>
      </w:pPr>
      <w:r>
        <w:rPr>
          <w:lang w:val="en-US"/>
        </w:rPr>
        <w:t xml:space="preserve">In addition, you can do this for different cells at the same time, by clicking and dragging the mouse over the preferred cells (see </w:t>
      </w:r>
      <w:r>
        <w:rPr>
          <w:lang w:val="en-US"/>
        </w:rPr>
        <w:fldChar w:fldCharType="begin"/>
      </w:r>
      <w:r>
        <w:rPr>
          <w:lang w:val="en-US"/>
        </w:rPr>
        <w:instrText xml:space="preserve"> REF _Ref333481116 \h </w:instrText>
      </w:r>
      <w:r>
        <w:rPr>
          <w:lang w:val="en-US"/>
        </w:rPr>
      </w:r>
      <w:r>
        <w:rPr>
          <w:lang w:val="en-US"/>
        </w:rPr>
        <w:fldChar w:fldCharType="separate"/>
      </w:r>
      <w:r w:rsidRPr="00D92197">
        <w:t xml:space="preserve">Figure </w:t>
      </w:r>
      <w:r>
        <w:rPr>
          <w:noProof/>
        </w:rPr>
        <w:t>9</w:t>
      </w:r>
      <w:r>
        <w:noBreakHyphen/>
      </w:r>
      <w:r>
        <w:rPr>
          <w:noProof/>
        </w:rPr>
        <w:t>3</w:t>
      </w:r>
      <w:r>
        <w:rPr>
          <w:lang w:val="en-US"/>
        </w:rPr>
        <w:fldChar w:fldCharType="end"/>
      </w:r>
      <w:r>
        <w:rPr>
          <w:lang w:val="en-US"/>
        </w:rPr>
        <w:t>).</w:t>
      </w:r>
      <w:r>
        <w:rPr>
          <w:lang w:val="en-US"/>
        </w:rPr>
        <w:br/>
      </w:r>
    </w:p>
    <w:p w:rsidR="00F33209" w:rsidRDefault="00F33209" w:rsidP="00F33209">
      <w:pPr>
        <w:keepNext/>
      </w:pPr>
      <w:r>
        <w:rPr>
          <w:noProof/>
          <w:lang w:val="nl-NL" w:eastAsia="nl-NL"/>
        </w:rPr>
        <w:drawing>
          <wp:inline distT="0" distB="0" distL="0" distR="0" wp14:anchorId="35050A5D" wp14:editId="1D6B6389">
            <wp:extent cx="1571625" cy="1897176"/>
            <wp:effectExtent l="0" t="0" r="0" b="8255"/>
            <wp:docPr id="48" name="Afbeelding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9" cstate="print"/>
                    <a:srcRect/>
                    <a:stretch>
                      <a:fillRect/>
                    </a:stretch>
                  </pic:blipFill>
                  <pic:spPr bwMode="auto">
                    <a:xfrm>
                      <a:off x="0" y="0"/>
                      <a:ext cx="1572368" cy="1898073"/>
                    </a:xfrm>
                    <a:prstGeom prst="rect">
                      <a:avLst/>
                    </a:prstGeom>
                    <a:noFill/>
                    <a:ln w="9525">
                      <a:noFill/>
                      <a:miter lim="800000"/>
                      <a:headEnd/>
                      <a:tailEnd/>
                    </a:ln>
                  </pic:spPr>
                </pic:pic>
              </a:graphicData>
            </a:graphic>
          </wp:inline>
        </w:drawing>
      </w:r>
    </w:p>
    <w:p w:rsidR="00F33209" w:rsidRPr="00D92197" w:rsidRDefault="00F33209" w:rsidP="00F33209">
      <w:pPr>
        <w:pStyle w:val="Onderschrift"/>
      </w:pPr>
      <w:bookmarkStart w:id="24" w:name="_Ref333481116"/>
      <w:bookmarkStart w:id="25" w:name="_Toc349644129"/>
      <w:bookmarkStart w:id="26" w:name="_Toc365030417"/>
      <w:r w:rsidRPr="00D92197">
        <w:t xml:space="preserve">Figure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Figure \* ARABIC \s 1 </w:instrText>
      </w:r>
      <w:r>
        <w:fldChar w:fldCharType="separate"/>
      </w:r>
      <w:r>
        <w:rPr>
          <w:noProof/>
        </w:rPr>
        <w:t>3</w:t>
      </w:r>
      <w:r>
        <w:fldChar w:fldCharType="end"/>
      </w:r>
      <w:bookmarkEnd w:id="24"/>
      <w:r w:rsidRPr="00D92197">
        <w:t>: Select by dragging</w:t>
      </w:r>
      <w:bookmarkEnd w:id="25"/>
      <w:bookmarkEnd w:id="26"/>
    </w:p>
    <w:p w:rsidR="00F33209" w:rsidRDefault="00F33209" w:rsidP="00F33209">
      <w:pPr>
        <w:rPr>
          <w:lang w:val="en-US"/>
        </w:rPr>
      </w:pPr>
      <w:r>
        <w:rPr>
          <w:lang w:val="en-US"/>
        </w:rPr>
        <w:t>If you want to disable the alarm settings, deselect the checkbox “Enable the selected cells”.</w:t>
      </w:r>
    </w:p>
    <w:p w:rsidR="00F33209" w:rsidRDefault="00F33209" w:rsidP="00F33209">
      <w:pPr>
        <w:rPr>
          <w:lang w:val="en-US"/>
        </w:rPr>
      </w:pPr>
    </w:p>
    <w:p w:rsidR="00F33209" w:rsidRDefault="00F33209" w:rsidP="00F33209">
      <w:pPr>
        <w:rPr>
          <w:lang w:val="en-US"/>
        </w:rPr>
      </w:pPr>
      <w:r>
        <w:rPr>
          <w:lang w:val="en-US"/>
        </w:rPr>
        <w:t>The following options are available for Duty Alarm Rights:</w:t>
      </w:r>
    </w:p>
    <w:p w:rsidR="00F33209" w:rsidRDefault="00F33209" w:rsidP="00F33209">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45"/>
        <w:gridCol w:w="6717"/>
      </w:tblGrid>
      <w:tr w:rsidR="00F33209" w:rsidRPr="00281C08" w:rsidTr="00E07E33">
        <w:tc>
          <w:tcPr>
            <w:tcW w:w="2376" w:type="dxa"/>
            <w:shd w:val="clear" w:color="auto" w:fill="0C0C0C"/>
          </w:tcPr>
          <w:p w:rsidR="00F33209" w:rsidRPr="00281C08" w:rsidRDefault="00F33209" w:rsidP="00E07E33">
            <w:pPr>
              <w:rPr>
                <w:b/>
                <w:lang w:val="en-US"/>
              </w:rPr>
            </w:pPr>
            <w:r w:rsidRPr="00281C08">
              <w:rPr>
                <w:b/>
                <w:lang w:val="en-US"/>
              </w:rPr>
              <w:t>Alarm group option</w:t>
            </w:r>
          </w:p>
        </w:tc>
        <w:tc>
          <w:tcPr>
            <w:tcW w:w="6836" w:type="dxa"/>
            <w:shd w:val="clear" w:color="auto" w:fill="0C0C0C"/>
          </w:tcPr>
          <w:p w:rsidR="00F33209" w:rsidRPr="00281C08" w:rsidRDefault="00F33209" w:rsidP="00E07E33">
            <w:pPr>
              <w:rPr>
                <w:b/>
                <w:lang w:val="en-US"/>
              </w:rPr>
            </w:pPr>
            <w:r w:rsidRPr="00281C08">
              <w:rPr>
                <w:b/>
                <w:lang w:val="en-US"/>
              </w:rPr>
              <w:t xml:space="preserve">Explanation </w:t>
            </w:r>
          </w:p>
        </w:tc>
      </w:tr>
      <w:tr w:rsidR="00F33209" w:rsidRPr="000F200F" w:rsidTr="00E07E33">
        <w:tc>
          <w:tcPr>
            <w:tcW w:w="2376" w:type="dxa"/>
          </w:tcPr>
          <w:p w:rsidR="00F33209" w:rsidRPr="009417AF" w:rsidRDefault="00F33209" w:rsidP="00E07E33">
            <w:pPr>
              <w:rPr>
                <w:lang w:val="en-US"/>
              </w:rPr>
            </w:pPr>
            <w:r>
              <w:rPr>
                <w:lang w:val="en-US"/>
              </w:rPr>
              <w:t>Call Allowed</w:t>
            </w:r>
          </w:p>
        </w:tc>
        <w:tc>
          <w:tcPr>
            <w:tcW w:w="6836" w:type="dxa"/>
          </w:tcPr>
          <w:p w:rsidR="00F33209" w:rsidRPr="009417AF" w:rsidRDefault="00F33209" w:rsidP="00E07E33">
            <w:pPr>
              <w:rPr>
                <w:lang w:val="en-US"/>
              </w:rPr>
            </w:pPr>
            <w:r>
              <w:rPr>
                <w:lang w:val="en-US"/>
              </w:rPr>
              <w:t>Marks if other stations are allowed to call this station</w:t>
            </w:r>
          </w:p>
        </w:tc>
      </w:tr>
      <w:tr w:rsidR="00F33209" w:rsidRPr="000F200F" w:rsidTr="00E07E33">
        <w:tc>
          <w:tcPr>
            <w:tcW w:w="2376" w:type="dxa"/>
          </w:tcPr>
          <w:p w:rsidR="00F33209" w:rsidRPr="009417AF" w:rsidRDefault="00F33209" w:rsidP="00E07E33">
            <w:pPr>
              <w:rPr>
                <w:lang w:val="en-US"/>
              </w:rPr>
            </w:pPr>
            <w:r>
              <w:rPr>
                <w:lang w:val="en-US"/>
              </w:rPr>
              <w:t>Bridge Duty</w:t>
            </w:r>
          </w:p>
        </w:tc>
        <w:tc>
          <w:tcPr>
            <w:tcW w:w="6836" w:type="dxa"/>
          </w:tcPr>
          <w:p w:rsidR="00F33209" w:rsidRPr="009417AF" w:rsidRDefault="00F33209" w:rsidP="00E07E33">
            <w:pPr>
              <w:rPr>
                <w:lang w:val="en-US"/>
              </w:rPr>
            </w:pPr>
            <w:r>
              <w:rPr>
                <w:lang w:val="en-US"/>
              </w:rPr>
              <w:t>Marks if station can be selected for Bridge Duty</w:t>
            </w:r>
          </w:p>
        </w:tc>
      </w:tr>
      <w:tr w:rsidR="00F33209" w:rsidRPr="000F200F" w:rsidTr="00E07E33">
        <w:tc>
          <w:tcPr>
            <w:tcW w:w="2376" w:type="dxa"/>
          </w:tcPr>
          <w:p w:rsidR="00F33209" w:rsidRPr="009417AF" w:rsidRDefault="00F33209" w:rsidP="00E07E33">
            <w:pPr>
              <w:rPr>
                <w:lang w:val="en-US"/>
              </w:rPr>
            </w:pPr>
            <w:r>
              <w:rPr>
                <w:lang w:val="en-US"/>
              </w:rPr>
              <w:t>Bridge Duty Select</w:t>
            </w:r>
          </w:p>
        </w:tc>
        <w:tc>
          <w:tcPr>
            <w:tcW w:w="6836" w:type="dxa"/>
          </w:tcPr>
          <w:p w:rsidR="00F33209" w:rsidRPr="009417AF" w:rsidRDefault="00F33209" w:rsidP="00E07E33">
            <w:pPr>
              <w:rPr>
                <w:lang w:val="en-US"/>
              </w:rPr>
            </w:pPr>
            <w:r>
              <w:rPr>
                <w:lang w:val="en-US"/>
              </w:rPr>
              <w:t xml:space="preserve">Marks if station can select bridge duty </w:t>
            </w:r>
          </w:p>
        </w:tc>
      </w:tr>
      <w:tr w:rsidR="00F33209" w:rsidRPr="000F200F" w:rsidTr="00E07E33">
        <w:tc>
          <w:tcPr>
            <w:tcW w:w="2376" w:type="dxa"/>
          </w:tcPr>
          <w:p w:rsidR="00F33209" w:rsidRPr="009417AF" w:rsidRDefault="00F33209" w:rsidP="00E07E33">
            <w:pPr>
              <w:rPr>
                <w:lang w:val="en-US"/>
              </w:rPr>
            </w:pPr>
            <w:r>
              <w:rPr>
                <w:lang w:val="en-US"/>
              </w:rPr>
              <w:t>ER Duty</w:t>
            </w:r>
          </w:p>
        </w:tc>
        <w:tc>
          <w:tcPr>
            <w:tcW w:w="6836" w:type="dxa"/>
          </w:tcPr>
          <w:p w:rsidR="00F33209" w:rsidRPr="009417AF" w:rsidRDefault="00F33209" w:rsidP="00E07E33">
            <w:pPr>
              <w:rPr>
                <w:lang w:val="en-US"/>
              </w:rPr>
            </w:pPr>
            <w:r>
              <w:rPr>
                <w:lang w:val="en-US"/>
              </w:rPr>
              <w:t>Marks if station can be selected for ER Duty</w:t>
            </w:r>
          </w:p>
        </w:tc>
      </w:tr>
      <w:tr w:rsidR="00F33209" w:rsidRPr="000F200F" w:rsidTr="00E07E33">
        <w:tc>
          <w:tcPr>
            <w:tcW w:w="2376" w:type="dxa"/>
          </w:tcPr>
          <w:p w:rsidR="00F33209" w:rsidRPr="009417AF" w:rsidRDefault="00F33209" w:rsidP="00E07E33">
            <w:pPr>
              <w:rPr>
                <w:lang w:val="en-US"/>
              </w:rPr>
            </w:pPr>
            <w:r>
              <w:rPr>
                <w:lang w:val="en-US"/>
              </w:rPr>
              <w:lastRenderedPageBreak/>
              <w:t>ER Duty Select</w:t>
            </w:r>
          </w:p>
        </w:tc>
        <w:tc>
          <w:tcPr>
            <w:tcW w:w="6836" w:type="dxa"/>
          </w:tcPr>
          <w:p w:rsidR="00F33209" w:rsidRPr="009417AF" w:rsidRDefault="00F33209" w:rsidP="00E07E33">
            <w:pPr>
              <w:rPr>
                <w:lang w:val="en-US"/>
              </w:rPr>
            </w:pPr>
            <w:r>
              <w:rPr>
                <w:lang w:val="en-US"/>
              </w:rPr>
              <w:t xml:space="preserve">Marks if station can select ER duty </w:t>
            </w:r>
          </w:p>
        </w:tc>
      </w:tr>
      <w:tr w:rsidR="00F33209" w:rsidRPr="000F200F" w:rsidTr="00E07E33">
        <w:tc>
          <w:tcPr>
            <w:tcW w:w="2376" w:type="dxa"/>
          </w:tcPr>
          <w:p w:rsidR="00F33209" w:rsidRPr="009417AF" w:rsidRDefault="00F33209" w:rsidP="00E07E33">
            <w:pPr>
              <w:rPr>
                <w:lang w:val="en-US"/>
              </w:rPr>
            </w:pPr>
            <w:r>
              <w:rPr>
                <w:lang w:val="en-US"/>
              </w:rPr>
              <w:t>Activate station</w:t>
            </w:r>
          </w:p>
        </w:tc>
        <w:tc>
          <w:tcPr>
            <w:tcW w:w="6836" w:type="dxa"/>
          </w:tcPr>
          <w:p w:rsidR="00F33209" w:rsidRPr="009417AF" w:rsidRDefault="00F33209" w:rsidP="00E07E33">
            <w:pPr>
              <w:rPr>
                <w:lang w:val="en-US"/>
              </w:rPr>
            </w:pPr>
            <w:r>
              <w:rPr>
                <w:lang w:val="en-US"/>
              </w:rPr>
              <w:t>Marks if station is allowed to switch on or off</w:t>
            </w:r>
          </w:p>
        </w:tc>
      </w:tr>
    </w:tbl>
    <w:p w:rsidR="00F33209" w:rsidRDefault="00F33209" w:rsidP="00F33209">
      <w:pPr>
        <w:pStyle w:val="Onderschrift"/>
      </w:pPr>
      <w:bookmarkStart w:id="27" w:name="_Toc365030421"/>
      <w:r>
        <w:t xml:space="preserve">Table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Table \* ARABIC \s 1 </w:instrText>
      </w:r>
      <w:r>
        <w:fldChar w:fldCharType="separate"/>
      </w:r>
      <w:r>
        <w:rPr>
          <w:noProof/>
        </w:rPr>
        <w:t>2</w:t>
      </w:r>
      <w:r>
        <w:fldChar w:fldCharType="end"/>
      </w:r>
      <w:r>
        <w:t>: Duty Alarm Rights</w:t>
      </w:r>
      <w:bookmarkEnd w:id="27"/>
    </w:p>
    <w:p w:rsidR="00F33209" w:rsidRDefault="00F33209" w:rsidP="00F33209">
      <w:r>
        <w:t xml:space="preserve">The “Call Allowed” and “Duty” is shown in the alarm mimic on the main workstations (see </w:t>
      </w:r>
      <w:r>
        <w:fldChar w:fldCharType="begin"/>
      </w:r>
      <w:r>
        <w:instrText xml:space="preserve"> REF _Ref350865558 \h </w:instrText>
      </w:r>
      <w:r>
        <w:fldChar w:fldCharType="separate"/>
      </w:r>
      <w:r>
        <w:t xml:space="preserve">Figure </w:t>
      </w:r>
      <w:r>
        <w:rPr>
          <w:noProof/>
        </w:rPr>
        <w:t>9</w:t>
      </w:r>
      <w:r>
        <w:noBreakHyphen/>
      </w:r>
      <w:r>
        <w:rPr>
          <w:noProof/>
        </w:rPr>
        <w:t>4</w:t>
      </w:r>
      <w:r>
        <w:fldChar w:fldCharType="end"/>
      </w:r>
      <w:r>
        <w:t xml:space="preserve"> and </w:t>
      </w:r>
      <w:r>
        <w:fldChar w:fldCharType="begin"/>
      </w:r>
      <w:r>
        <w:instrText xml:space="preserve"> REF _Ref350865569 \h </w:instrText>
      </w:r>
      <w:r>
        <w:fldChar w:fldCharType="separate"/>
      </w:r>
      <w:r>
        <w:t xml:space="preserve">Figure </w:t>
      </w:r>
      <w:r>
        <w:rPr>
          <w:noProof/>
        </w:rPr>
        <w:t>9</w:t>
      </w:r>
      <w:r>
        <w:noBreakHyphen/>
      </w:r>
      <w:r>
        <w:rPr>
          <w:noProof/>
        </w:rPr>
        <w:t>5</w:t>
      </w:r>
      <w:r>
        <w:fldChar w:fldCharType="end"/>
      </w:r>
      <w:r>
        <w:t>).</w:t>
      </w:r>
    </w:p>
    <w:p w:rsidR="00F33209" w:rsidRDefault="00F33209" w:rsidP="00F33209"/>
    <w:p w:rsidR="00F33209" w:rsidRDefault="00F33209" w:rsidP="00F33209"/>
    <w:p w:rsidR="00F33209" w:rsidRDefault="00F33209" w:rsidP="00F33209"/>
    <w:p w:rsidR="00F33209" w:rsidRDefault="00F33209" w:rsidP="00F33209"/>
    <w:p w:rsidR="00F33209" w:rsidRDefault="00F33209" w:rsidP="00F33209">
      <w:r>
        <w:rPr>
          <w:noProof/>
          <w:lang w:val="nl-NL" w:eastAsia="nl-NL"/>
        </w:rPr>
        <w:drawing>
          <wp:inline distT="0" distB="0" distL="0" distR="0" wp14:anchorId="3BD638C4" wp14:editId="244C814F">
            <wp:extent cx="1857375" cy="34194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57375" cy="3419475"/>
                    </a:xfrm>
                    <a:prstGeom prst="rect">
                      <a:avLst/>
                    </a:prstGeom>
                  </pic:spPr>
                </pic:pic>
              </a:graphicData>
            </a:graphic>
          </wp:inline>
        </w:drawing>
      </w:r>
    </w:p>
    <w:p w:rsidR="00F33209" w:rsidRDefault="00F33209" w:rsidP="00F33209">
      <w:pPr>
        <w:pStyle w:val="Onderschrift"/>
      </w:pPr>
      <w:bookmarkStart w:id="28" w:name="_Ref350865558"/>
      <w:bookmarkStart w:id="29" w:name="_Toc365030418"/>
      <w:r>
        <w:t xml:space="preserve">Figure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Figure \* ARABIC \s 1 </w:instrText>
      </w:r>
      <w:r>
        <w:fldChar w:fldCharType="separate"/>
      </w:r>
      <w:r>
        <w:rPr>
          <w:noProof/>
        </w:rPr>
        <w:t>4</w:t>
      </w:r>
      <w:r>
        <w:fldChar w:fldCharType="end"/>
      </w:r>
      <w:bookmarkEnd w:id="28"/>
      <w:r>
        <w:t>: Duty Select function</w:t>
      </w:r>
      <w:bookmarkEnd w:id="29"/>
    </w:p>
    <w:p w:rsidR="00F33209" w:rsidRDefault="00F33209" w:rsidP="00F33209"/>
    <w:p w:rsidR="00F33209" w:rsidRDefault="00F33209" w:rsidP="00F33209"/>
    <w:p w:rsidR="00F33209" w:rsidRDefault="00F33209" w:rsidP="00F33209">
      <w:r>
        <w:rPr>
          <w:noProof/>
          <w:lang w:val="nl-NL" w:eastAsia="nl-NL"/>
        </w:rPr>
        <w:lastRenderedPageBreak/>
        <w:drawing>
          <wp:inline distT="0" distB="0" distL="0" distR="0" wp14:anchorId="26097FD4" wp14:editId="5579B078">
            <wp:extent cx="1876425" cy="41719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76425" cy="4171950"/>
                    </a:xfrm>
                    <a:prstGeom prst="rect">
                      <a:avLst/>
                    </a:prstGeom>
                  </pic:spPr>
                </pic:pic>
              </a:graphicData>
            </a:graphic>
          </wp:inline>
        </w:drawing>
      </w:r>
    </w:p>
    <w:p w:rsidR="00F33209" w:rsidRDefault="00F33209" w:rsidP="00F33209">
      <w:pPr>
        <w:pStyle w:val="Onderschrift"/>
      </w:pPr>
      <w:bookmarkStart w:id="30" w:name="_Ref350865569"/>
      <w:bookmarkStart w:id="31" w:name="_Toc365030419"/>
      <w:r>
        <w:t xml:space="preserve">Figure </w:t>
      </w:r>
      <w:r>
        <w:fldChar w:fldCharType="begin"/>
      </w:r>
      <w:r>
        <w:instrText xml:space="preserve"> STYLEREF 1 \s </w:instrText>
      </w:r>
      <w:r>
        <w:fldChar w:fldCharType="separate"/>
      </w:r>
      <w:r>
        <w:rPr>
          <w:noProof/>
        </w:rPr>
        <w:t>9</w:t>
      </w:r>
      <w:r>
        <w:fldChar w:fldCharType="end"/>
      </w:r>
      <w:r>
        <w:noBreakHyphen/>
      </w:r>
      <w:r>
        <w:fldChar w:fldCharType="begin"/>
      </w:r>
      <w:r>
        <w:instrText xml:space="preserve"> SEQ Figure \* ARABIC \s 1 </w:instrText>
      </w:r>
      <w:r>
        <w:fldChar w:fldCharType="separate"/>
      </w:r>
      <w:r>
        <w:rPr>
          <w:noProof/>
        </w:rPr>
        <w:t>5</w:t>
      </w:r>
      <w:r>
        <w:fldChar w:fldCharType="end"/>
      </w:r>
      <w:bookmarkEnd w:id="30"/>
      <w:r>
        <w:t>: Call Select function</w:t>
      </w:r>
      <w:bookmarkEnd w:id="31"/>
    </w:p>
    <w:p w:rsidR="00F33209" w:rsidRDefault="00F33209" w:rsidP="00F33209"/>
    <w:p w:rsidR="00F33209" w:rsidRDefault="00F33209" w:rsidP="00F33209">
      <w:pPr>
        <w:rPr>
          <w:lang w:val="en-US"/>
        </w:rPr>
      </w:pPr>
      <w:r>
        <w:rPr>
          <w:noProof/>
          <w:lang w:val="nl-NL" w:eastAsia="nl-NL"/>
        </w:rPr>
        <w:drawing>
          <wp:inline distT="0" distB="0" distL="0" distR="0" wp14:anchorId="3873DE3C" wp14:editId="50217A30">
            <wp:extent cx="416379" cy="342900"/>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lang w:val="en-US"/>
        </w:rPr>
        <w:t>: The FT NavVision© fields for call and duty select can be found under Field Settings/Alarm/Crew/Crew Alarms.</w:t>
      </w:r>
    </w:p>
    <w:p w:rsidR="00F33209" w:rsidRDefault="00F33209" w:rsidP="00F33209">
      <w:pPr>
        <w:rPr>
          <w:lang w:val="en-US"/>
        </w:rPr>
      </w:pPr>
    </w:p>
    <w:p w:rsidR="00F33209" w:rsidRDefault="00F33209" w:rsidP="00F33209">
      <w:pPr>
        <w:pStyle w:val="Heading2"/>
        <w:rPr>
          <w:lang w:val="en-US"/>
        </w:rPr>
      </w:pPr>
      <w:bookmarkStart w:id="32" w:name="_Toc349643912"/>
      <w:bookmarkStart w:id="33" w:name="_Toc365030386"/>
      <w:r>
        <w:rPr>
          <w:lang w:val="en-US"/>
        </w:rPr>
        <w:t>Background</w:t>
      </w:r>
      <w:bookmarkEnd w:id="32"/>
      <w:bookmarkEnd w:id="33"/>
    </w:p>
    <w:p w:rsidR="00F33209" w:rsidRDefault="00F33209" w:rsidP="00F33209">
      <w:pPr>
        <w:rPr>
          <w:lang w:val="en-US"/>
        </w:rPr>
      </w:pPr>
      <w:r>
        <w:rPr>
          <w:lang w:val="en-US"/>
        </w:rPr>
        <w:t xml:space="preserve">To elaborate a little bit further we will explain a bit more about the use of alarm stations. Each station will be in a particular part of the ship (i.e. wheelhouse, engine room, crewmess, chief engineer cabin etc.) All these stations have their own rights on which alarms they can hear or see and how they can act upon such an alarm. For example, the engine room is the place where all the alarms normally will be visible and almost always the only place where alarms can be acknowledged. This is because regulations require that alarms can only be acknowledged on that part of the ship where you can act upon the alarm and take precautionary action on that alarm. Now in the crewmess (a public space) all kind of people have access to the workstation. It is not advisable that these people have rights to acknowledge the alarm. So in this space you can set the </w:t>
      </w:r>
      <w:proofErr w:type="spellStart"/>
      <w:r>
        <w:rPr>
          <w:lang w:val="en-US"/>
        </w:rPr>
        <w:t>Alarmstation</w:t>
      </w:r>
      <w:proofErr w:type="spellEnd"/>
      <w:r>
        <w:rPr>
          <w:lang w:val="en-US"/>
        </w:rPr>
        <w:t xml:space="preserve"> rights for the crewmess, so that they don’t have the rights to acknowledge.</w:t>
      </w:r>
    </w:p>
    <w:p w:rsidR="00F33209" w:rsidRDefault="00F33209" w:rsidP="00F33209">
      <w:pPr>
        <w:rPr>
          <w:lang w:val="en-US"/>
        </w:rPr>
      </w:pPr>
    </w:p>
    <w:p w:rsidR="00F33209" w:rsidRPr="00C71069" w:rsidRDefault="00F33209" w:rsidP="00F33209">
      <w:r>
        <w:rPr>
          <w:lang w:val="en-US"/>
        </w:rPr>
        <w:t>You can imagine that in the wheelhouse they do not want to see all the alarms concerning propulsion etc. merely navigational alarms are mostly enough on the bridge. Here you can set the alarm stations to only show navigational alarms and not propulsion alarms.</w:t>
      </w:r>
    </w:p>
    <w:p w:rsidR="001D66BB" w:rsidRPr="00F33209" w:rsidRDefault="001D66BB" w:rsidP="00F33209">
      <w:bookmarkStart w:id="34" w:name="_GoBack"/>
      <w:bookmarkEnd w:id="34"/>
    </w:p>
    <w:sectPr w:rsidR="001D66BB" w:rsidRPr="00F33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1D"/>
    <w:rsid w:val="000800BE"/>
    <w:rsid w:val="001D66BB"/>
    <w:rsid w:val="002F26D8"/>
    <w:rsid w:val="00A1171D"/>
    <w:rsid w:val="00A77D9E"/>
    <w:rsid w:val="00AA05E8"/>
    <w:rsid w:val="00D33DAB"/>
    <w:rsid w:val="00E7290A"/>
    <w:rsid w:val="00F332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BD5F6-1801-4B3E-9DD3-5882A16E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1D"/>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1171D"/>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1171D"/>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1171D"/>
    <w:pPr>
      <w:numPr>
        <w:ilvl w:val="2"/>
      </w:numPr>
      <w:outlineLvl w:val="2"/>
    </w:pPr>
    <w:rPr>
      <w:sz w:val="22"/>
    </w:rPr>
  </w:style>
  <w:style w:type="paragraph" w:styleId="Heading4">
    <w:name w:val="heading 4"/>
    <w:aliases w:val="Sectie"/>
    <w:basedOn w:val="Heading2"/>
    <w:next w:val="Normal"/>
    <w:link w:val="Heading4Char"/>
    <w:qFormat/>
    <w:rsid w:val="00A1171D"/>
    <w:pPr>
      <w:numPr>
        <w:ilvl w:val="3"/>
      </w:numPr>
      <w:outlineLvl w:val="3"/>
    </w:pPr>
  </w:style>
  <w:style w:type="paragraph" w:styleId="Heading5">
    <w:name w:val="heading 5"/>
    <w:aliases w:val="Onderdeel"/>
    <w:basedOn w:val="Heading2"/>
    <w:next w:val="Normal"/>
    <w:link w:val="Heading5Char"/>
    <w:qFormat/>
    <w:rsid w:val="00A1171D"/>
    <w:pPr>
      <w:numPr>
        <w:ilvl w:val="4"/>
      </w:numPr>
      <w:outlineLvl w:val="4"/>
    </w:pPr>
  </w:style>
  <w:style w:type="paragraph" w:styleId="Heading6">
    <w:name w:val="heading 6"/>
    <w:basedOn w:val="Heading2"/>
    <w:next w:val="Normal"/>
    <w:link w:val="Heading6Char"/>
    <w:qFormat/>
    <w:rsid w:val="00A1171D"/>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1171D"/>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1171D"/>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171D"/>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1171D"/>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A1171D"/>
    <w:rPr>
      <w:rFonts w:ascii="Arial" w:eastAsiaTheme="majorEastAsia" w:hAnsi="Arial" w:cstheme="majorBidi"/>
      <w:b/>
      <w:szCs w:val="20"/>
      <w:lang w:val="en-GB"/>
    </w:rPr>
  </w:style>
  <w:style w:type="character" w:customStyle="1" w:styleId="Heading4Char">
    <w:name w:val="Heading 4 Char"/>
    <w:basedOn w:val="DefaultParagraphFont"/>
    <w:link w:val="Heading4"/>
    <w:rsid w:val="00A1171D"/>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1171D"/>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1171D"/>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1171D"/>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1171D"/>
    <w:rPr>
      <w:rFonts w:ascii="Arial" w:eastAsiaTheme="majorEastAsia" w:hAnsi="Arial" w:cstheme="majorBidi"/>
      <w:b/>
      <w:sz w:val="24"/>
      <w:szCs w:val="20"/>
      <w:lang w:val="en-GB"/>
    </w:rPr>
  </w:style>
  <w:style w:type="paragraph" w:customStyle="1" w:styleId="Heading1noNr">
    <w:name w:val="Heading 1 no Nr."/>
    <w:basedOn w:val="Heading1"/>
    <w:next w:val="Normal"/>
    <w:rsid w:val="00A1171D"/>
    <w:pPr>
      <w:outlineLvl w:val="9"/>
    </w:pPr>
    <w:rPr>
      <w:rFonts w:eastAsia="Times New Roman" w:cs="Times New Roman"/>
      <w:bCs/>
    </w:rPr>
  </w:style>
  <w:style w:type="paragraph" w:styleId="BodyText">
    <w:name w:val="Body Text"/>
    <w:basedOn w:val="Normal"/>
    <w:link w:val="BodyTextChar"/>
    <w:rsid w:val="00A1171D"/>
    <w:pPr>
      <w:spacing w:after="120"/>
    </w:pPr>
  </w:style>
  <w:style w:type="character" w:customStyle="1" w:styleId="BodyTextChar">
    <w:name w:val="Body Text Char"/>
    <w:basedOn w:val="DefaultParagraphFont"/>
    <w:link w:val="BodyText"/>
    <w:rsid w:val="00A1171D"/>
    <w:rPr>
      <w:rFonts w:ascii="Arial" w:eastAsia="Times New Roman" w:hAnsi="Arial" w:cs="Times New Roman"/>
      <w:szCs w:val="20"/>
      <w:lang w:val="en-GB"/>
    </w:rPr>
  </w:style>
  <w:style w:type="paragraph" w:customStyle="1" w:styleId="Text">
    <w:name w:val="Text"/>
    <w:basedOn w:val="Normal"/>
    <w:link w:val="TextChar"/>
    <w:rsid w:val="00AA05E8"/>
  </w:style>
  <w:style w:type="character" w:customStyle="1" w:styleId="TextChar">
    <w:name w:val="Text Char"/>
    <w:link w:val="Text"/>
    <w:rsid w:val="00AA05E8"/>
    <w:rPr>
      <w:rFonts w:ascii="Arial" w:eastAsia="Times New Roman" w:hAnsi="Arial" w:cs="Times New Roman"/>
      <w:szCs w:val="20"/>
      <w:lang w:val="en-GB"/>
    </w:rPr>
  </w:style>
  <w:style w:type="paragraph" w:customStyle="1" w:styleId="Onderschrift">
    <w:name w:val="Onderschrift"/>
    <w:basedOn w:val="Caption"/>
    <w:autoRedefine/>
    <w:qFormat/>
    <w:rsid w:val="00AA05E8"/>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A05E8"/>
    <w:pPr>
      <w:spacing w:after="200"/>
    </w:pPr>
    <w:rPr>
      <w:i/>
      <w:iCs/>
      <w:color w:val="44546A" w:themeColor="text2"/>
      <w:sz w:val="18"/>
      <w:szCs w:val="18"/>
    </w:rPr>
  </w:style>
  <w:style w:type="table" w:styleId="LightList">
    <w:name w:val="Light List"/>
    <w:basedOn w:val="TableNormal"/>
    <w:uiPriority w:val="61"/>
    <w:rsid w:val="002F26D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1032</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2014-12-12T10:52:00Z</dcterms:created>
  <dcterms:modified xsi:type="dcterms:W3CDTF">2014-12-12T10:52:00Z</dcterms:modified>
</cp:coreProperties>
</file>