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E1B" w:rsidRDefault="00220E1B" w:rsidP="00220E1B">
      <w:pPr>
        <w:pStyle w:val="Heading2"/>
        <w:rPr>
          <w:lang w:val="en-US"/>
        </w:rPr>
      </w:pPr>
      <w:bookmarkStart w:id="0" w:name="_Ref334089390"/>
      <w:bookmarkStart w:id="1" w:name="_Toc372884083"/>
      <w:r w:rsidRPr="00310C70">
        <w:rPr>
          <w:lang w:val="en-US"/>
        </w:rPr>
        <w:t>Field settin</w:t>
      </w:r>
      <w:r>
        <w:rPr>
          <w:lang w:val="en-US"/>
        </w:rPr>
        <w:t>gs</w:t>
      </w:r>
      <w:bookmarkEnd w:id="0"/>
      <w:bookmarkEnd w:id="1"/>
    </w:p>
    <w:p w:rsidR="00220E1B" w:rsidRDefault="00220E1B" w:rsidP="00220E1B">
      <w:pPr>
        <w:rPr>
          <w:lang w:val="en-US"/>
        </w:rPr>
      </w:pPr>
      <w:r>
        <w:rPr>
          <w:lang w:val="en-US"/>
        </w:rPr>
        <w:t xml:space="preserve">Under “Tools &gt; Configuration &gt; Field </w:t>
      </w:r>
      <w:r w:rsidRPr="00DC3584">
        <w:rPr>
          <w:lang w:val="en-US"/>
        </w:rPr>
        <w:t>S</w:t>
      </w:r>
      <w:r>
        <w:rPr>
          <w:lang w:val="en-US"/>
        </w:rPr>
        <w:t>ettings</w:t>
      </w:r>
      <w:r>
        <w:rPr>
          <w:lang w:val="en-US"/>
        </w:rPr>
        <w:fldChar w:fldCharType="begin"/>
      </w:r>
      <w:r>
        <w:rPr>
          <w:lang w:val="en-US"/>
        </w:rPr>
        <w:instrText xml:space="preserve"> XE "</w:instrText>
      </w:r>
      <w:r w:rsidRPr="00CA46A0">
        <w:rPr>
          <w:lang w:val="en-US"/>
        </w:rPr>
        <w:instrText>Settings"</w:instrText>
      </w:r>
      <w:r>
        <w:rPr>
          <w:lang w:val="en-US"/>
        </w:rPr>
        <w:instrText xml:space="preserve"> </w:instrText>
      </w:r>
      <w:r>
        <w:rPr>
          <w:lang w:val="en-US"/>
        </w:rPr>
        <w:fldChar w:fldCharType="end"/>
      </w:r>
      <w:r>
        <w:rPr>
          <w:lang w:val="en-US"/>
        </w:rPr>
        <w:t>” you’ll find the tools to adjust and fine-tune on field label basis. For every I/O you attach a label onto you will find different ways of tuning in each tab of field settings.</w:t>
      </w:r>
    </w:p>
    <w:p w:rsidR="00220E1B" w:rsidRDefault="00220E1B" w:rsidP="00220E1B">
      <w:pPr>
        <w:rPr>
          <w:lang w:val="en-US"/>
        </w:rPr>
      </w:pPr>
    </w:p>
    <w:p w:rsidR="00220E1B" w:rsidRDefault="00220E1B" w:rsidP="00220E1B">
      <w:pPr>
        <w:keepNext/>
      </w:pPr>
      <w:r>
        <w:rPr>
          <w:noProof/>
          <w:lang w:val="nl-NL" w:eastAsia="nl-NL"/>
        </w:rPr>
        <w:drawing>
          <wp:inline distT="0" distB="0" distL="0" distR="0" wp14:anchorId="0771CB37" wp14:editId="338DC18A">
            <wp:extent cx="3657600" cy="302895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57600" cy="3028950"/>
                    </a:xfrm>
                    <a:prstGeom prst="rect">
                      <a:avLst/>
                    </a:prstGeom>
                  </pic:spPr>
                </pic:pic>
              </a:graphicData>
            </a:graphic>
          </wp:inline>
        </w:drawing>
      </w:r>
    </w:p>
    <w:p w:rsidR="00220E1B" w:rsidRPr="00D92197" w:rsidRDefault="00220E1B" w:rsidP="00220E1B">
      <w:pPr>
        <w:pStyle w:val="Onderschrift"/>
      </w:pPr>
      <w:bookmarkStart w:id="2" w:name="_Ref263331168"/>
      <w:bookmarkStart w:id="3" w:name="_Toc372884318"/>
      <w:r w:rsidRPr="00D92197">
        <w:t xml:space="preserve">Figure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Figure \* ARABIC \s 1 </w:instrText>
      </w:r>
      <w:r>
        <w:fldChar w:fldCharType="separate"/>
      </w:r>
      <w:r>
        <w:rPr>
          <w:noProof/>
        </w:rPr>
        <w:t>4</w:t>
      </w:r>
      <w:r>
        <w:fldChar w:fldCharType="end"/>
      </w:r>
      <w:bookmarkEnd w:id="2"/>
      <w:r w:rsidRPr="00D92197">
        <w:t>: Field settings</w:t>
      </w:r>
      <w:bookmarkEnd w:id="3"/>
    </w:p>
    <w:p w:rsidR="00220E1B" w:rsidRDefault="00220E1B" w:rsidP="00220E1B">
      <w:pPr>
        <w:rPr>
          <w:lang w:val="en-US"/>
        </w:rPr>
      </w:pPr>
      <w:r>
        <w:rPr>
          <w:lang w:val="en-US"/>
        </w:rPr>
        <w:t>The following settings are available:</w:t>
      </w:r>
    </w:p>
    <w:p w:rsidR="00220E1B" w:rsidRDefault="00220E1B" w:rsidP="00220E1B">
      <w:pPr>
        <w:numPr>
          <w:ilvl w:val="0"/>
          <w:numId w:val="4"/>
        </w:numPr>
        <w:rPr>
          <w:lang w:val="en-US"/>
        </w:rPr>
      </w:pPr>
      <w:r w:rsidRPr="00C2392C">
        <w:rPr>
          <w:b/>
          <w:lang w:val="en-US"/>
        </w:rPr>
        <w:t>Alarm</w:t>
      </w:r>
      <w:r>
        <w:rPr>
          <w:lang w:val="en-US"/>
        </w:rPr>
        <w:br/>
        <w:t>Settings</w:t>
      </w:r>
      <w:r>
        <w:rPr>
          <w:lang w:val="en-US"/>
        </w:rPr>
        <w:fldChar w:fldCharType="begin"/>
      </w:r>
      <w:r>
        <w:rPr>
          <w:lang w:val="en-US"/>
        </w:rPr>
        <w:instrText xml:space="preserve"> XE "</w:instrText>
      </w:r>
      <w:r w:rsidRPr="00CA46A0">
        <w:rPr>
          <w:lang w:val="en-US"/>
        </w:rPr>
        <w:instrText>Settings"</w:instrText>
      </w:r>
      <w:r>
        <w:rPr>
          <w:lang w:val="en-US"/>
        </w:rPr>
        <w:instrText xml:space="preserve"> </w:instrText>
      </w:r>
      <w:r>
        <w:rPr>
          <w:lang w:val="en-US"/>
        </w:rPr>
        <w:fldChar w:fldCharType="end"/>
      </w:r>
      <w:r>
        <w:rPr>
          <w:lang w:val="en-US"/>
        </w:rPr>
        <w:t xml:space="preserve"> of user alarms, warning alarms, critical alarms, Alarm group settings, SMS settings, inhibit settings</w:t>
      </w:r>
    </w:p>
    <w:p w:rsidR="00220E1B" w:rsidRDefault="00220E1B" w:rsidP="00220E1B">
      <w:pPr>
        <w:numPr>
          <w:ilvl w:val="0"/>
          <w:numId w:val="4"/>
        </w:numPr>
        <w:rPr>
          <w:lang w:val="en-US"/>
        </w:rPr>
      </w:pPr>
      <w:r w:rsidRPr="00C2392C">
        <w:rPr>
          <w:b/>
          <w:lang w:val="en-US"/>
        </w:rPr>
        <w:t>Min/Max</w:t>
      </w:r>
      <w:r>
        <w:rPr>
          <w:lang w:val="en-US"/>
        </w:rPr>
        <w:br/>
        <w:t>Setting of instrument range, zone marking, default unit and filter</w:t>
      </w:r>
    </w:p>
    <w:p w:rsidR="00220E1B" w:rsidRDefault="00220E1B" w:rsidP="00220E1B">
      <w:pPr>
        <w:numPr>
          <w:ilvl w:val="0"/>
          <w:numId w:val="4"/>
        </w:numPr>
        <w:rPr>
          <w:lang w:val="en-US"/>
        </w:rPr>
      </w:pPr>
      <w:r w:rsidRPr="00C2392C">
        <w:rPr>
          <w:b/>
          <w:lang w:val="en-US"/>
        </w:rPr>
        <w:t>Tune</w:t>
      </w:r>
      <w:r>
        <w:rPr>
          <w:b/>
          <w:lang w:val="en-US"/>
        </w:rPr>
        <w:fldChar w:fldCharType="begin"/>
      </w:r>
      <w:r>
        <w:rPr>
          <w:b/>
          <w:lang w:val="en-US"/>
        </w:rPr>
        <w:instrText xml:space="preserve"> XE "</w:instrText>
      </w:r>
      <w:r w:rsidRPr="00CA46A0">
        <w:rPr>
          <w:lang w:val="en-US"/>
        </w:rPr>
        <w:instrText>Tune"</w:instrText>
      </w:r>
      <w:r>
        <w:rPr>
          <w:b/>
          <w:lang w:val="en-US"/>
        </w:rPr>
        <w:instrText xml:space="preserve"> </w:instrText>
      </w:r>
      <w:r>
        <w:rPr>
          <w:b/>
          <w:lang w:val="en-US"/>
        </w:rPr>
        <w:fldChar w:fldCharType="end"/>
      </w:r>
      <w:r>
        <w:rPr>
          <w:lang w:val="en-US"/>
        </w:rPr>
        <w:br/>
        <w:t>Setting of tuning table, see results and sender</w:t>
      </w:r>
    </w:p>
    <w:p w:rsidR="00220E1B" w:rsidRDefault="00220E1B" w:rsidP="00220E1B">
      <w:pPr>
        <w:numPr>
          <w:ilvl w:val="0"/>
          <w:numId w:val="4"/>
        </w:numPr>
        <w:rPr>
          <w:lang w:val="en-US"/>
        </w:rPr>
      </w:pPr>
      <w:r w:rsidRPr="00C2392C">
        <w:rPr>
          <w:b/>
          <w:lang w:val="en-US"/>
        </w:rPr>
        <w:t>Comment</w:t>
      </w:r>
      <w:r>
        <w:rPr>
          <w:lang w:val="en-US"/>
        </w:rPr>
        <w:br/>
        <w:t>Check and change group label, group label logbook, field label and field label instrument</w:t>
      </w:r>
    </w:p>
    <w:p w:rsidR="00220E1B" w:rsidRDefault="00220E1B" w:rsidP="00220E1B">
      <w:pPr>
        <w:numPr>
          <w:ilvl w:val="0"/>
          <w:numId w:val="4"/>
        </w:numPr>
        <w:rPr>
          <w:lang w:val="en-US"/>
        </w:rPr>
      </w:pPr>
      <w:r>
        <w:rPr>
          <w:b/>
          <w:lang w:val="en-US"/>
        </w:rPr>
        <w:t>Auto Switch</w:t>
      </w:r>
    </w:p>
    <w:p w:rsidR="00220E1B" w:rsidRDefault="00220E1B" w:rsidP="00220E1B">
      <w:pPr>
        <w:ind w:left="720"/>
        <w:rPr>
          <w:lang w:val="en-US"/>
        </w:rPr>
      </w:pPr>
      <w:r>
        <w:rPr>
          <w:lang w:val="en-US"/>
        </w:rPr>
        <w:t xml:space="preserve">Make various in-and outputs react on each other. </w:t>
      </w:r>
    </w:p>
    <w:p w:rsidR="00220E1B" w:rsidRDefault="00220E1B" w:rsidP="00220E1B">
      <w:pPr>
        <w:numPr>
          <w:ilvl w:val="0"/>
          <w:numId w:val="4"/>
        </w:numPr>
        <w:rPr>
          <w:lang w:val="en-US"/>
        </w:rPr>
      </w:pPr>
      <w:r w:rsidRPr="00C2392C">
        <w:rPr>
          <w:b/>
          <w:lang w:val="en-US"/>
        </w:rPr>
        <w:t>Log</w:t>
      </w:r>
      <w:r>
        <w:rPr>
          <w:lang w:val="en-US"/>
        </w:rPr>
        <w:br/>
        <w:t>Setting and enabling/disabling logging for each field label.</w:t>
      </w:r>
    </w:p>
    <w:p w:rsidR="00220E1B" w:rsidRPr="00814A29" w:rsidRDefault="00220E1B" w:rsidP="00220E1B">
      <w:pPr>
        <w:pStyle w:val="Heading3"/>
        <w:rPr>
          <w:lang w:val="en-US"/>
        </w:rPr>
      </w:pPr>
      <w:bookmarkStart w:id="4" w:name="_Toc275956012"/>
      <w:r>
        <w:rPr>
          <w:lang w:val="en-US"/>
        </w:rPr>
        <w:br w:type="page"/>
      </w:r>
      <w:bookmarkStart w:id="5" w:name="_Toc372884084"/>
      <w:r w:rsidRPr="00814A29">
        <w:rPr>
          <w:lang w:val="en-US"/>
        </w:rPr>
        <w:lastRenderedPageBreak/>
        <w:t>Alarm</w:t>
      </w:r>
      <w:bookmarkEnd w:id="4"/>
      <w:bookmarkEnd w:id="5"/>
    </w:p>
    <w:p w:rsidR="00220E1B" w:rsidRDefault="00220E1B" w:rsidP="00220E1B">
      <w:pPr>
        <w:rPr>
          <w:lang w:val="en-US"/>
        </w:rPr>
      </w:pPr>
      <w:r w:rsidRPr="00C2392C">
        <w:rPr>
          <w:lang w:val="en-US"/>
        </w:rPr>
        <w:t>Choose the field you would like to</w:t>
      </w:r>
      <w:r>
        <w:rPr>
          <w:lang w:val="en-US"/>
        </w:rPr>
        <w:t xml:space="preserve"> change the alarm settings for (e.g.</w:t>
      </w:r>
      <w:r w:rsidRPr="00C2392C">
        <w:rPr>
          <w:lang w:val="en-US"/>
        </w:rPr>
        <w:t xml:space="preserve"> </w:t>
      </w:r>
      <w:r>
        <w:rPr>
          <w:lang w:val="en-US"/>
        </w:rPr>
        <w:t xml:space="preserve">“Steering and Propulsion &gt;Rudder &gt; Angle”). </w:t>
      </w:r>
      <w:r>
        <w:rPr>
          <w:lang w:val="en-US"/>
        </w:rPr>
        <w:br/>
        <w:t>Depending on the field selection, a number of field settings are available. In this example the following settings are allowed:</w:t>
      </w:r>
    </w:p>
    <w:p w:rsidR="00220E1B" w:rsidRDefault="00220E1B" w:rsidP="00220E1B">
      <w:pPr>
        <w:rPr>
          <w:lang w:val="en-US"/>
        </w:rPr>
      </w:pPr>
    </w:p>
    <w:p w:rsidR="00220E1B" w:rsidRPr="00CA0364" w:rsidRDefault="00220E1B" w:rsidP="00220E1B">
      <w:pPr>
        <w:keepNext/>
        <w:rPr>
          <w:lang w:val="en-US"/>
        </w:rPr>
      </w:pPr>
      <w:r>
        <w:rPr>
          <w:noProof/>
          <w:lang w:val="nl-NL" w:eastAsia="nl-NL"/>
        </w:rPr>
        <w:drawing>
          <wp:inline distT="0" distB="0" distL="0" distR="0" wp14:anchorId="6046ACB0" wp14:editId="125BC8D0">
            <wp:extent cx="5686425" cy="1381125"/>
            <wp:effectExtent l="0" t="0" r="9525"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86425" cy="1381125"/>
                    </a:xfrm>
                    <a:prstGeom prst="rect">
                      <a:avLst/>
                    </a:prstGeom>
                  </pic:spPr>
                </pic:pic>
              </a:graphicData>
            </a:graphic>
          </wp:inline>
        </w:drawing>
      </w:r>
      <w:r w:rsidRPr="00625A8E">
        <w:rPr>
          <w:noProof/>
          <w:lang w:val="en-US"/>
        </w:rPr>
        <w:t xml:space="preserve"> </w:t>
      </w:r>
    </w:p>
    <w:p w:rsidR="00220E1B" w:rsidRPr="00D92197" w:rsidRDefault="00220E1B" w:rsidP="00220E1B">
      <w:pPr>
        <w:pStyle w:val="Onderschrift"/>
      </w:pPr>
      <w:bookmarkStart w:id="6" w:name="_Toc372884319"/>
      <w:r w:rsidRPr="00D92197">
        <w:t xml:space="preserve">Figure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Figure \* ARABIC \s 1 </w:instrText>
      </w:r>
      <w:r>
        <w:fldChar w:fldCharType="separate"/>
      </w:r>
      <w:r>
        <w:rPr>
          <w:noProof/>
        </w:rPr>
        <w:t>5</w:t>
      </w:r>
      <w:r>
        <w:fldChar w:fldCharType="end"/>
      </w:r>
      <w:r w:rsidRPr="00D92197">
        <w:t>: Alarm settings</w:t>
      </w:r>
      <w:bookmarkEnd w:id="6"/>
    </w:p>
    <w:p w:rsidR="00220E1B" w:rsidRDefault="00220E1B" w:rsidP="00220E1B">
      <w:pPr>
        <w:rPr>
          <w:lang w:val="en-US"/>
        </w:rPr>
      </w:pPr>
      <w:r>
        <w:rPr>
          <w:lang w:val="en-US"/>
        </w:rPr>
        <w:t xml:space="preserve">An alarm field as this “rudder alarm” is not set as alarm by default. It gives an analogue </w:t>
      </w:r>
      <w:proofErr w:type="gramStart"/>
      <w:r>
        <w:rPr>
          <w:lang w:val="en-US"/>
        </w:rPr>
        <w:t>value )in</w:t>
      </w:r>
      <w:proofErr w:type="gramEnd"/>
      <w:r>
        <w:rPr>
          <w:lang w:val="en-US"/>
        </w:rPr>
        <w:t xml:space="preserve"> this case within the range -45 degree and +45 degree. Now within this range you can set a few alarms. </w:t>
      </w:r>
      <w:r w:rsidRPr="00651D6E">
        <w:rPr>
          <w:lang w:val="en-US"/>
        </w:rPr>
        <w:t>The settings that can be altered are the following:</w:t>
      </w:r>
    </w:p>
    <w:p w:rsidR="00220E1B" w:rsidRDefault="00220E1B" w:rsidP="00220E1B">
      <w:pPr>
        <w:rPr>
          <w:lang w:val="en-US"/>
        </w:rPr>
      </w:pPr>
    </w:p>
    <w:p w:rsidR="00220E1B" w:rsidRPr="007F0B70" w:rsidRDefault="00220E1B" w:rsidP="00220E1B">
      <w:pPr>
        <w:pStyle w:val="Heading4"/>
        <w:rPr>
          <w:lang w:val="en-US"/>
        </w:rPr>
      </w:pPr>
      <w:bookmarkStart w:id="7" w:name="_Toc372884085"/>
      <w:r w:rsidRPr="007F0B70">
        <w:rPr>
          <w:lang w:val="en-US"/>
        </w:rPr>
        <w:t>Alarm levels</w:t>
      </w:r>
      <w:bookmarkEnd w:id="7"/>
      <w:r>
        <w:rPr>
          <w:lang w:val="en-US"/>
        </w:rPr>
        <w:br/>
      </w:r>
    </w:p>
    <w:p w:rsidR="00220E1B" w:rsidRDefault="00220E1B" w:rsidP="00220E1B">
      <w:pPr>
        <w:numPr>
          <w:ilvl w:val="1"/>
          <w:numId w:val="6"/>
        </w:numPr>
        <w:rPr>
          <w:lang w:val="en-US"/>
        </w:rPr>
      </w:pPr>
      <w:r>
        <w:rPr>
          <w:b/>
          <w:lang w:val="en-US"/>
        </w:rPr>
        <w:t>User</w:t>
      </w:r>
      <w:r>
        <w:rPr>
          <w:b/>
          <w:lang w:val="en-US"/>
        </w:rPr>
        <w:br/>
      </w:r>
      <w:r>
        <w:rPr>
          <w:lang w:val="en-US"/>
        </w:rPr>
        <w:t>Via this check box the user alarm settings are set. In this example you can set the alarm threshold (low and high). Usually you will not set them here but in the instrument itself (it is a user alarm) but you can check and/or change them here</w:t>
      </w:r>
    </w:p>
    <w:p w:rsidR="00220E1B" w:rsidRDefault="00220E1B" w:rsidP="00220E1B">
      <w:pPr>
        <w:numPr>
          <w:ilvl w:val="1"/>
          <w:numId w:val="6"/>
        </w:numPr>
        <w:rPr>
          <w:lang w:val="en-US"/>
        </w:rPr>
      </w:pPr>
      <w:r w:rsidRPr="009F1D49">
        <w:rPr>
          <w:b/>
          <w:lang w:val="en-US"/>
        </w:rPr>
        <w:t>Warning</w:t>
      </w:r>
      <w:r w:rsidRPr="009F1D49">
        <w:rPr>
          <w:lang w:val="en-US"/>
        </w:rPr>
        <w:t xml:space="preserve"> </w:t>
      </w:r>
      <w:r w:rsidRPr="009F1D49">
        <w:rPr>
          <w:lang w:val="en-US"/>
        </w:rPr>
        <w:br/>
        <w:t>The warning alarm is a dedicated alarm to warn the user when certain thresholds are exceeded. This alarm can have a dedicated delay and a dedicated alarm group</w:t>
      </w:r>
      <w:r>
        <w:rPr>
          <w:lang w:val="en-US"/>
        </w:rPr>
        <w:t xml:space="preserve"> (</w:t>
      </w:r>
      <w:proofErr w:type="spellStart"/>
      <w:r>
        <w:rPr>
          <w:lang w:val="en-US"/>
        </w:rPr>
        <w:t>i.e</w:t>
      </w:r>
      <w:proofErr w:type="spellEnd"/>
      <w:r>
        <w:rPr>
          <w:lang w:val="en-US"/>
        </w:rPr>
        <w:t xml:space="preserve"> a high or low alarm)</w:t>
      </w:r>
      <w:r w:rsidRPr="009F1D49">
        <w:rPr>
          <w:lang w:val="en-US"/>
        </w:rPr>
        <w:t xml:space="preserve">. </w:t>
      </w:r>
      <w:r w:rsidRPr="009F1D49">
        <w:rPr>
          <w:lang w:val="en-US"/>
        </w:rPr>
        <w:br/>
        <w:t>Choose these thresholds widely within the boundaries of the capabilities of the attached device (check specific manual for the values)</w:t>
      </w:r>
      <w:r>
        <w:rPr>
          <w:lang w:val="en-US"/>
        </w:rPr>
        <w:t xml:space="preserve"> </w:t>
      </w:r>
    </w:p>
    <w:p w:rsidR="00220E1B" w:rsidRPr="009F1D49" w:rsidRDefault="00220E1B" w:rsidP="00220E1B">
      <w:pPr>
        <w:numPr>
          <w:ilvl w:val="1"/>
          <w:numId w:val="6"/>
        </w:numPr>
        <w:rPr>
          <w:lang w:val="en-US"/>
        </w:rPr>
      </w:pPr>
      <w:r w:rsidRPr="009F1D49">
        <w:rPr>
          <w:b/>
          <w:lang w:val="en-US"/>
        </w:rPr>
        <w:t>Critical</w:t>
      </w:r>
      <w:r w:rsidRPr="009F1D49">
        <w:rPr>
          <w:b/>
          <w:lang w:val="en-US"/>
        </w:rPr>
        <w:br/>
      </w:r>
      <w:proofErr w:type="gramStart"/>
      <w:r w:rsidRPr="009F1D49">
        <w:rPr>
          <w:lang w:val="en-US"/>
        </w:rPr>
        <w:t>To</w:t>
      </w:r>
      <w:proofErr w:type="gramEnd"/>
      <w:r w:rsidRPr="009F1D49">
        <w:rPr>
          <w:lang w:val="en-US"/>
        </w:rPr>
        <w:t xml:space="preserve"> set the critical alarm thresholds</w:t>
      </w:r>
      <w:r>
        <w:rPr>
          <w:lang w:val="en-US"/>
        </w:rPr>
        <w:t xml:space="preserve"> (i.e. too high or too low)</w:t>
      </w:r>
      <w:r w:rsidRPr="009F1D49">
        <w:rPr>
          <w:lang w:val="en-US"/>
        </w:rPr>
        <w:t xml:space="preserve"> (check specific manual for these values).</w:t>
      </w:r>
    </w:p>
    <w:p w:rsidR="00220E1B" w:rsidRPr="009F1D49" w:rsidRDefault="00220E1B" w:rsidP="00220E1B">
      <w:pPr>
        <w:ind w:left="720"/>
        <w:rPr>
          <w:lang w:val="en-US"/>
        </w:rPr>
      </w:pPr>
    </w:p>
    <w:p w:rsidR="00220E1B" w:rsidRDefault="00220E1B" w:rsidP="00220E1B">
      <w:pPr>
        <w:numPr>
          <w:ilvl w:val="0"/>
          <w:numId w:val="5"/>
        </w:numPr>
        <w:rPr>
          <w:lang w:val="en-US"/>
        </w:rPr>
      </w:pPr>
      <w:r w:rsidRPr="004446F5">
        <w:rPr>
          <w:b/>
          <w:lang w:val="en-US"/>
        </w:rPr>
        <w:t>Delay(s</w:t>
      </w:r>
      <w:proofErr w:type="gramStart"/>
      <w:r w:rsidRPr="004446F5">
        <w:rPr>
          <w:b/>
          <w:lang w:val="en-US"/>
        </w:rPr>
        <w:t>)</w:t>
      </w:r>
      <w:proofErr w:type="gramEnd"/>
      <w:r>
        <w:rPr>
          <w:b/>
          <w:lang w:val="en-US"/>
        </w:rPr>
        <w:br/>
      </w:r>
      <w:r w:rsidRPr="00651D6E">
        <w:rPr>
          <w:lang w:val="en-US"/>
        </w:rPr>
        <w:t xml:space="preserve">The time (in seconds) </w:t>
      </w:r>
      <w:r>
        <w:rPr>
          <w:lang w:val="en-US"/>
        </w:rPr>
        <w:t>the system will wait before it will show the specific alarm that is triggered. This is necessary if a hysteresis is needed (i.e. a bilge alarm that is on the edge of the alarm by the rocking of the ship, will not go of all the time if you put in a delay)</w:t>
      </w:r>
    </w:p>
    <w:p w:rsidR="00220E1B" w:rsidRDefault="00220E1B" w:rsidP="00220E1B">
      <w:pPr>
        <w:numPr>
          <w:ilvl w:val="0"/>
          <w:numId w:val="5"/>
        </w:numPr>
        <w:rPr>
          <w:lang w:val="en-US"/>
        </w:rPr>
      </w:pPr>
      <w:r w:rsidRPr="004446F5">
        <w:rPr>
          <w:b/>
          <w:lang w:val="en-US"/>
        </w:rPr>
        <w:t xml:space="preserve">Alarm </w:t>
      </w:r>
      <w:r>
        <w:rPr>
          <w:b/>
          <w:lang w:val="en-US"/>
        </w:rPr>
        <w:t>G</w:t>
      </w:r>
      <w:r w:rsidRPr="004446F5">
        <w:rPr>
          <w:b/>
          <w:lang w:val="en-US"/>
        </w:rPr>
        <w:t>roup</w:t>
      </w:r>
      <w:r>
        <w:rPr>
          <w:b/>
          <w:lang w:val="en-US"/>
        </w:rPr>
        <w:br/>
      </w:r>
      <w:r>
        <w:rPr>
          <w:lang w:val="en-US"/>
        </w:rPr>
        <w:t>Here you can put the alarm in a specific group. By putting it in a group you can manage the rights of different users on whether they can silence or acknowledge these alarms. For more detailed information please refer to chapter “Alarm stations”.</w:t>
      </w:r>
    </w:p>
    <w:p w:rsidR="00220E1B" w:rsidRDefault="00220E1B" w:rsidP="00220E1B">
      <w:pPr>
        <w:ind w:left="720"/>
        <w:rPr>
          <w:b/>
          <w:lang w:val="en-US"/>
        </w:rPr>
      </w:pPr>
    </w:p>
    <w:p w:rsidR="00220E1B" w:rsidRDefault="00220E1B" w:rsidP="00220E1B">
      <w:pPr>
        <w:rPr>
          <w:lang w:val="en-US"/>
        </w:rPr>
      </w:pPr>
      <w:r>
        <w:rPr>
          <w:lang w:val="en-US"/>
        </w:rPr>
        <w:t xml:space="preserve">By example it will look like this (see </w:t>
      </w:r>
      <w:r>
        <w:rPr>
          <w:lang w:val="en-US"/>
        </w:rPr>
        <w:fldChar w:fldCharType="begin"/>
      </w:r>
      <w:r>
        <w:rPr>
          <w:lang w:val="en-US"/>
        </w:rPr>
        <w:instrText xml:space="preserve"> REF _Ref333477518 \h </w:instrText>
      </w:r>
      <w:r>
        <w:rPr>
          <w:lang w:val="en-US"/>
        </w:rPr>
      </w:r>
      <w:r>
        <w:rPr>
          <w:lang w:val="en-US"/>
        </w:rPr>
        <w:fldChar w:fldCharType="separate"/>
      </w:r>
      <w:r>
        <w:t xml:space="preserve">Figure </w:t>
      </w:r>
      <w:r>
        <w:rPr>
          <w:noProof/>
        </w:rPr>
        <w:t>11</w:t>
      </w:r>
      <w:r>
        <w:noBreakHyphen/>
      </w:r>
      <w:r>
        <w:rPr>
          <w:noProof/>
        </w:rPr>
        <w:t>6</w:t>
      </w:r>
      <w:r>
        <w:rPr>
          <w:lang w:val="en-US"/>
        </w:rPr>
        <w:fldChar w:fldCharType="end"/>
      </w:r>
      <w:r>
        <w:rPr>
          <w:lang w:val="en-US"/>
        </w:rPr>
        <w:t>).</w:t>
      </w:r>
    </w:p>
    <w:p w:rsidR="00220E1B" w:rsidRDefault="00220E1B" w:rsidP="00220E1B">
      <w:pPr>
        <w:rPr>
          <w:lang w:val="en-US"/>
        </w:rPr>
      </w:pPr>
    </w:p>
    <w:p w:rsidR="00220E1B" w:rsidRDefault="00220E1B" w:rsidP="00220E1B">
      <w:pPr>
        <w:rPr>
          <w:lang w:val="en-US"/>
        </w:rPr>
      </w:pPr>
      <w:r>
        <w:rPr>
          <w:noProof/>
          <w:lang w:val="nl-NL" w:eastAsia="nl-NL"/>
        </w:rPr>
        <w:lastRenderedPageBreak/>
        <w:drawing>
          <wp:inline distT="0" distB="0" distL="0" distR="0" wp14:anchorId="6633841D" wp14:editId="61604159">
            <wp:extent cx="5257800" cy="1343025"/>
            <wp:effectExtent l="0" t="0" r="0" b="952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57800" cy="1343025"/>
                    </a:xfrm>
                    <a:prstGeom prst="rect">
                      <a:avLst/>
                    </a:prstGeom>
                  </pic:spPr>
                </pic:pic>
              </a:graphicData>
            </a:graphic>
          </wp:inline>
        </w:drawing>
      </w:r>
    </w:p>
    <w:p w:rsidR="00220E1B" w:rsidRDefault="00220E1B" w:rsidP="00220E1B">
      <w:pPr>
        <w:pStyle w:val="Onderschrift"/>
      </w:pPr>
      <w:bookmarkStart w:id="8" w:name="_Ref333477518"/>
      <w:bookmarkStart w:id="9" w:name="_Ref332276042"/>
      <w:bookmarkStart w:id="10" w:name="_Toc372884320"/>
      <w:r>
        <w:t xml:space="preserve">Figure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Figure \* ARABIC \s 1 </w:instrText>
      </w:r>
      <w:r>
        <w:fldChar w:fldCharType="separate"/>
      </w:r>
      <w:r>
        <w:rPr>
          <w:noProof/>
        </w:rPr>
        <w:t>6</w:t>
      </w:r>
      <w:r>
        <w:fldChar w:fldCharType="end"/>
      </w:r>
      <w:bookmarkEnd w:id="8"/>
      <w:r>
        <w:t>: Alarm example</w:t>
      </w:r>
      <w:bookmarkEnd w:id="9"/>
      <w:bookmarkEnd w:id="10"/>
    </w:p>
    <w:p w:rsidR="00220E1B" w:rsidRPr="00CA0364" w:rsidRDefault="00220E1B" w:rsidP="00220E1B">
      <w:pPr>
        <w:rPr>
          <w:lang w:val="en-US"/>
        </w:rPr>
      </w:pPr>
      <w:r w:rsidRPr="00CA0364">
        <w:rPr>
          <w:lang w:val="en-US"/>
        </w:rPr>
        <w:t>The next tab is for the inhibit properties.</w:t>
      </w:r>
    </w:p>
    <w:p w:rsidR="00220E1B" w:rsidRPr="00CA0364" w:rsidRDefault="00220E1B" w:rsidP="00220E1B">
      <w:pPr>
        <w:rPr>
          <w:lang w:val="en-US"/>
        </w:rPr>
      </w:pPr>
    </w:p>
    <w:p w:rsidR="00220E1B" w:rsidRDefault="00220E1B" w:rsidP="00220E1B">
      <w:pPr>
        <w:pStyle w:val="Heading4"/>
      </w:pPr>
      <w:bookmarkStart w:id="11" w:name="_Toc372884086"/>
      <w:r w:rsidRPr="00AA7FC8">
        <w:t>Inhibit</w:t>
      </w:r>
      <w:r>
        <w:fldChar w:fldCharType="begin"/>
      </w:r>
      <w:r>
        <w:instrText xml:space="preserve"> XE "Inhibit" </w:instrText>
      </w:r>
      <w:r>
        <w:fldChar w:fldCharType="end"/>
      </w:r>
      <w:r w:rsidRPr="00AA7FC8">
        <w:t xml:space="preserve"> Properties</w:t>
      </w:r>
      <w:bookmarkEnd w:id="11"/>
    </w:p>
    <w:p w:rsidR="00220E1B" w:rsidRDefault="00220E1B" w:rsidP="00220E1B"/>
    <w:p w:rsidR="00220E1B" w:rsidRDefault="00220E1B" w:rsidP="00220E1B">
      <w:r>
        <w:rPr>
          <w:noProof/>
          <w:lang w:val="nl-NL" w:eastAsia="nl-NL"/>
        </w:rPr>
        <w:drawing>
          <wp:inline distT="0" distB="0" distL="0" distR="0" wp14:anchorId="44B7D3FD" wp14:editId="5B4C76E3">
            <wp:extent cx="5010150" cy="1352550"/>
            <wp:effectExtent l="0" t="0" r="0" b="0"/>
            <wp:docPr id="83" name="Afbeelding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10150" cy="1352550"/>
                    </a:xfrm>
                    <a:prstGeom prst="rect">
                      <a:avLst/>
                    </a:prstGeom>
                  </pic:spPr>
                </pic:pic>
              </a:graphicData>
            </a:graphic>
          </wp:inline>
        </w:drawing>
      </w:r>
    </w:p>
    <w:p w:rsidR="00220E1B" w:rsidRDefault="00220E1B" w:rsidP="00220E1B">
      <w:pPr>
        <w:pStyle w:val="Onderschrift"/>
      </w:pPr>
      <w:bookmarkStart w:id="12" w:name="_Toc372884321"/>
      <w:r>
        <w:t xml:space="preserve">Figure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Figure \* ARABIC \s 1 </w:instrText>
      </w:r>
      <w:r>
        <w:fldChar w:fldCharType="separate"/>
      </w:r>
      <w:r>
        <w:rPr>
          <w:noProof/>
        </w:rPr>
        <w:t>7</w:t>
      </w:r>
      <w:r>
        <w:fldChar w:fldCharType="end"/>
      </w:r>
      <w:r>
        <w:t>: Inhibit</w:t>
      </w:r>
      <w:r>
        <w:fldChar w:fldCharType="begin"/>
      </w:r>
      <w:r>
        <w:instrText xml:space="preserve"> XE "Inhibit" </w:instrText>
      </w:r>
      <w:r>
        <w:fldChar w:fldCharType="end"/>
      </w:r>
      <w:r>
        <w:t xml:space="preserve"> Properties</w:t>
      </w:r>
      <w:bookmarkEnd w:id="12"/>
    </w:p>
    <w:p w:rsidR="00220E1B" w:rsidRPr="00CA0364" w:rsidRDefault="00220E1B" w:rsidP="00220E1B">
      <w:pPr>
        <w:rPr>
          <w:lang w:val="en-US"/>
        </w:rPr>
      </w:pPr>
      <w:r w:rsidRPr="00CA0364">
        <w:rPr>
          <w:lang w:val="en-US"/>
        </w:rPr>
        <w:t>There will be certain occasions where you do not want the alarm to go off. For example an oil pressure alarm from an engine will normally also be in alarm when the engine is shut down. This is not wanted as an alarm. Or when a sensor is broken and there is no time to repair it for a while, it will be easier to inhibit the “Defect Alarm” of this sensor until you have time to repair it.</w:t>
      </w:r>
    </w:p>
    <w:p w:rsidR="00220E1B" w:rsidRPr="00CA0364" w:rsidRDefault="00220E1B" w:rsidP="00220E1B">
      <w:pPr>
        <w:rPr>
          <w:lang w:val="en-US"/>
        </w:rPr>
      </w:pPr>
    </w:p>
    <w:p w:rsidR="00220E1B" w:rsidRDefault="00220E1B" w:rsidP="00220E1B">
      <w:pPr>
        <w:pStyle w:val="ListParagraph"/>
        <w:numPr>
          <w:ilvl w:val="0"/>
          <w:numId w:val="7"/>
        </w:numPr>
        <w:rPr>
          <w:b/>
        </w:rPr>
      </w:pPr>
      <w:r>
        <w:rPr>
          <w:b/>
        </w:rPr>
        <w:t>Inhibit</w:t>
      </w:r>
      <w:r>
        <w:rPr>
          <w:b/>
        </w:rPr>
        <w:fldChar w:fldCharType="begin"/>
      </w:r>
      <w:r>
        <w:rPr>
          <w:b/>
        </w:rPr>
        <w:instrText xml:space="preserve"> XE "</w:instrText>
      </w:r>
      <w:r>
        <w:instrText>Inhibit"</w:instrText>
      </w:r>
      <w:r>
        <w:rPr>
          <w:b/>
        </w:rPr>
        <w:instrText xml:space="preserve"> </w:instrText>
      </w:r>
      <w:r>
        <w:rPr>
          <w:b/>
        </w:rPr>
        <w:fldChar w:fldCharType="end"/>
      </w:r>
      <w:r>
        <w:rPr>
          <w:b/>
        </w:rPr>
        <w:t xml:space="preserve"> All: </w:t>
      </w:r>
    </w:p>
    <w:p w:rsidR="00220E1B" w:rsidRPr="00AA7FC8" w:rsidRDefault="00220E1B" w:rsidP="00220E1B">
      <w:pPr>
        <w:pStyle w:val="ListParagraph"/>
        <w:ind w:left="1080"/>
      </w:pPr>
      <w:r>
        <w:t xml:space="preserve">This checkbox is used to inhibit all the alarms from this particular sensor. Especially when the sensor is defect, it will come in handy. In the </w:t>
      </w:r>
      <w:proofErr w:type="spellStart"/>
      <w:r>
        <w:t>alarmpage</w:t>
      </w:r>
      <w:proofErr w:type="spellEnd"/>
      <w:r>
        <w:t xml:space="preserve"> (See </w:t>
      </w:r>
      <w:proofErr w:type="spellStart"/>
      <w:r>
        <w:t>Alarmpage</w:t>
      </w:r>
      <w:proofErr w:type="spellEnd"/>
      <w:r>
        <w:t xml:space="preserve">) you will constantly see that the sensor is inhibited, so you won’t forget. </w:t>
      </w:r>
    </w:p>
    <w:p w:rsidR="00220E1B" w:rsidRDefault="00220E1B" w:rsidP="00220E1B">
      <w:pPr>
        <w:numPr>
          <w:ilvl w:val="0"/>
          <w:numId w:val="7"/>
        </w:numPr>
        <w:rPr>
          <w:lang w:val="en-US"/>
        </w:rPr>
      </w:pPr>
      <w:r>
        <w:rPr>
          <w:b/>
          <w:lang w:val="en-US"/>
        </w:rPr>
        <w:t>Inhibit</w:t>
      </w:r>
      <w:r>
        <w:rPr>
          <w:b/>
          <w:lang w:val="en-US"/>
        </w:rPr>
        <w:fldChar w:fldCharType="begin"/>
      </w:r>
      <w:r>
        <w:rPr>
          <w:b/>
          <w:lang w:val="en-US"/>
        </w:rPr>
        <w:instrText xml:space="preserve"> XE "</w:instrText>
      </w:r>
      <w:r w:rsidRPr="00CA46A0">
        <w:rPr>
          <w:lang w:val="en-US"/>
        </w:rPr>
        <w:instrText>Inhibit"</w:instrText>
      </w:r>
      <w:r>
        <w:rPr>
          <w:b/>
          <w:lang w:val="en-US"/>
        </w:rPr>
        <w:instrText xml:space="preserve"> </w:instrText>
      </w:r>
      <w:r>
        <w:rPr>
          <w:b/>
          <w:lang w:val="en-US"/>
        </w:rPr>
        <w:fldChar w:fldCharType="end"/>
      </w:r>
      <w:r>
        <w:rPr>
          <w:b/>
          <w:lang w:val="en-US"/>
        </w:rPr>
        <w:t xml:space="preserve"> Sensor Failure</w:t>
      </w:r>
      <w:r>
        <w:rPr>
          <w:b/>
          <w:lang w:val="en-US"/>
        </w:rPr>
        <w:br/>
      </w:r>
      <w:proofErr w:type="gramStart"/>
      <w:r>
        <w:rPr>
          <w:lang w:val="en-US"/>
        </w:rPr>
        <w:t>Some</w:t>
      </w:r>
      <w:proofErr w:type="gramEnd"/>
      <w:r>
        <w:rPr>
          <w:lang w:val="en-US"/>
        </w:rPr>
        <w:t xml:space="preserve"> sensors (i.e. 4-20 mA) tends to go a little bit out of range. Normally this will be no problem. However if a 4-20 mA sensor drops below 4 mA or goes higher than 20 mA, FT NavVision®  will see this as a sensor failure and will give an alarm. If you think it is just the range of the sensor that is giving the problem, you can check this box to stop these alarms.</w:t>
      </w:r>
    </w:p>
    <w:p w:rsidR="00220E1B" w:rsidRDefault="00220E1B" w:rsidP="00220E1B">
      <w:pPr>
        <w:numPr>
          <w:ilvl w:val="0"/>
          <w:numId w:val="7"/>
        </w:numPr>
        <w:rPr>
          <w:lang w:val="en-US"/>
        </w:rPr>
      </w:pPr>
      <w:r>
        <w:rPr>
          <w:b/>
          <w:lang w:val="en-US"/>
        </w:rPr>
        <w:t>Inhibit</w:t>
      </w:r>
      <w:r>
        <w:rPr>
          <w:b/>
          <w:lang w:val="en-US"/>
        </w:rPr>
        <w:fldChar w:fldCharType="begin"/>
      </w:r>
      <w:r>
        <w:rPr>
          <w:b/>
          <w:lang w:val="en-US"/>
        </w:rPr>
        <w:instrText xml:space="preserve"> XE "</w:instrText>
      </w:r>
      <w:r w:rsidRPr="00CA46A0">
        <w:rPr>
          <w:lang w:val="en-US"/>
        </w:rPr>
        <w:instrText>Inhibit"</w:instrText>
      </w:r>
      <w:r>
        <w:rPr>
          <w:b/>
          <w:lang w:val="en-US"/>
        </w:rPr>
        <w:instrText xml:space="preserve"> </w:instrText>
      </w:r>
      <w:r>
        <w:rPr>
          <w:b/>
          <w:lang w:val="en-US"/>
        </w:rPr>
        <w:fldChar w:fldCharType="end"/>
      </w:r>
      <w:r>
        <w:rPr>
          <w:b/>
          <w:lang w:val="en-US"/>
        </w:rPr>
        <w:t xml:space="preserve"> Alarm Levels</w:t>
      </w:r>
      <w:r>
        <w:rPr>
          <w:b/>
          <w:lang w:val="en-US"/>
        </w:rPr>
        <w:br/>
      </w:r>
      <w:proofErr w:type="gramStart"/>
      <w:r>
        <w:rPr>
          <w:lang w:val="en-US"/>
        </w:rPr>
        <w:t>If</w:t>
      </w:r>
      <w:proofErr w:type="gramEnd"/>
      <w:r>
        <w:rPr>
          <w:lang w:val="en-US"/>
        </w:rPr>
        <w:t xml:space="preserve"> you have set alarm levels as mentioned in “Alarm Levels” And you need them out for a while, check this box.</w:t>
      </w:r>
    </w:p>
    <w:p w:rsidR="00220E1B" w:rsidRDefault="00220E1B" w:rsidP="00220E1B">
      <w:pPr>
        <w:numPr>
          <w:ilvl w:val="0"/>
          <w:numId w:val="7"/>
        </w:numPr>
        <w:rPr>
          <w:lang w:val="en-US"/>
        </w:rPr>
      </w:pPr>
      <w:r>
        <w:rPr>
          <w:b/>
          <w:lang w:val="en-US"/>
        </w:rPr>
        <w:t>Inhibit</w:t>
      </w:r>
      <w:r>
        <w:rPr>
          <w:b/>
          <w:lang w:val="en-US"/>
        </w:rPr>
        <w:fldChar w:fldCharType="begin"/>
      </w:r>
      <w:r>
        <w:rPr>
          <w:b/>
          <w:lang w:val="en-US"/>
        </w:rPr>
        <w:instrText xml:space="preserve"> XE "</w:instrText>
      </w:r>
      <w:r>
        <w:instrText>Inhibit"</w:instrText>
      </w:r>
      <w:r>
        <w:rPr>
          <w:b/>
          <w:lang w:val="en-US"/>
        </w:rPr>
        <w:instrText xml:space="preserve"> </w:instrText>
      </w:r>
      <w:r>
        <w:rPr>
          <w:b/>
          <w:lang w:val="en-US"/>
        </w:rPr>
        <w:fldChar w:fldCharType="end"/>
      </w:r>
      <w:r>
        <w:rPr>
          <w:b/>
          <w:lang w:val="en-US"/>
        </w:rPr>
        <w:t xml:space="preserve"> When</w:t>
      </w:r>
    </w:p>
    <w:p w:rsidR="00220E1B" w:rsidRDefault="00220E1B" w:rsidP="00220E1B">
      <w:pPr>
        <w:ind w:left="1080"/>
        <w:rPr>
          <w:lang w:val="en-US"/>
        </w:rPr>
      </w:pPr>
      <w:r>
        <w:rPr>
          <w:lang w:val="en-US"/>
        </w:rPr>
        <w:t>In the earlier mentioned oil pressure alarm, you don’t want that alarm to go off when the engine is not running. This is where “Inhibit</w:t>
      </w:r>
      <w:r>
        <w:rPr>
          <w:lang w:val="en-US"/>
        </w:rPr>
        <w:fldChar w:fldCharType="begin"/>
      </w:r>
      <w:r>
        <w:rPr>
          <w:lang w:val="en-US"/>
        </w:rPr>
        <w:instrText xml:space="preserve"> XE "</w:instrText>
      </w:r>
      <w:r w:rsidRPr="00CA46A0">
        <w:rPr>
          <w:lang w:val="en-US"/>
        </w:rPr>
        <w:instrText>Inhibit"</w:instrText>
      </w:r>
      <w:r>
        <w:rPr>
          <w:lang w:val="en-US"/>
        </w:rPr>
        <w:instrText xml:space="preserve"> </w:instrText>
      </w:r>
      <w:r>
        <w:rPr>
          <w:lang w:val="en-US"/>
        </w:rPr>
        <w:fldChar w:fldCharType="end"/>
      </w:r>
      <w:r>
        <w:rPr>
          <w:lang w:val="en-US"/>
        </w:rPr>
        <w:t xml:space="preserve"> When” will help. In the inhibit properties of that particular sensor you mark the checkbox. Now you search the belonging engine running field in the box next to that, by clicking the tab besides that. While you want the alarm to be inhibited when the engine is not running, in the next field you choose “&lt;” from the dropdown menu. Finally you set an amount (in this case 0.5) in the adjacent field. Now, when the engine is not </w:t>
      </w:r>
      <w:r>
        <w:rPr>
          <w:lang w:val="en-US"/>
        </w:rPr>
        <w:lastRenderedPageBreak/>
        <w:t>running, the alarm will not sound. (</w:t>
      </w:r>
      <w:proofErr w:type="gramStart"/>
      <w:r>
        <w:rPr>
          <w:lang w:val="en-US"/>
        </w:rPr>
        <w:t>see</w:t>
      </w:r>
      <w:proofErr w:type="gramEnd"/>
      <w:r>
        <w:rPr>
          <w:lang w:val="en-US"/>
        </w:rPr>
        <w:t xml:space="preserve"> </w:t>
      </w:r>
      <w:r>
        <w:rPr>
          <w:lang w:val="en-US"/>
        </w:rPr>
        <w:fldChar w:fldCharType="begin"/>
      </w:r>
      <w:r>
        <w:rPr>
          <w:lang w:val="en-US"/>
        </w:rPr>
        <w:instrText xml:space="preserve"> REF _Ref332278862 \h </w:instrText>
      </w:r>
      <w:r>
        <w:rPr>
          <w:lang w:val="en-US"/>
        </w:rPr>
      </w:r>
      <w:r>
        <w:rPr>
          <w:lang w:val="en-US"/>
        </w:rPr>
        <w:fldChar w:fldCharType="separate"/>
      </w:r>
      <w:r>
        <w:t xml:space="preserve">Figure </w:t>
      </w:r>
      <w:r>
        <w:rPr>
          <w:noProof/>
        </w:rPr>
        <w:t>11</w:t>
      </w:r>
      <w:r>
        <w:noBreakHyphen/>
      </w:r>
      <w:r>
        <w:rPr>
          <w:noProof/>
        </w:rPr>
        <w:t>8</w:t>
      </w:r>
      <w:r>
        <w:rPr>
          <w:lang w:val="en-US"/>
        </w:rPr>
        <w:fldChar w:fldCharType="end"/>
      </w:r>
      <w:r>
        <w:rPr>
          <w:lang w:val="en-US"/>
        </w:rPr>
        <w:t>). Finally you can choose an additional field (And/Or) to specify even further. For example you can use the Shaft Speed RPM as backup. (</w:t>
      </w:r>
      <w:proofErr w:type="gramStart"/>
      <w:r>
        <w:rPr>
          <w:lang w:val="en-US"/>
        </w:rPr>
        <w:t>see</w:t>
      </w:r>
      <w:proofErr w:type="gramEnd"/>
      <w:r>
        <w:rPr>
          <w:lang w:val="en-US"/>
        </w:rPr>
        <w:t xml:space="preserve"> </w:t>
      </w:r>
      <w:r>
        <w:rPr>
          <w:lang w:val="en-US"/>
        </w:rPr>
        <w:fldChar w:fldCharType="begin"/>
      </w:r>
      <w:r>
        <w:rPr>
          <w:lang w:val="en-US"/>
        </w:rPr>
        <w:instrText xml:space="preserve"> REF _Ref332279468 \h </w:instrText>
      </w:r>
      <w:r>
        <w:rPr>
          <w:lang w:val="en-US"/>
        </w:rPr>
      </w:r>
      <w:r>
        <w:rPr>
          <w:lang w:val="en-US"/>
        </w:rPr>
        <w:fldChar w:fldCharType="separate"/>
      </w:r>
      <w:r>
        <w:t xml:space="preserve">Figure </w:t>
      </w:r>
      <w:r>
        <w:rPr>
          <w:noProof/>
        </w:rPr>
        <w:t>11</w:t>
      </w:r>
      <w:r>
        <w:noBreakHyphen/>
      </w:r>
      <w:r>
        <w:rPr>
          <w:noProof/>
        </w:rPr>
        <w:t>9</w:t>
      </w:r>
      <w:r>
        <w:rPr>
          <w:lang w:val="en-US"/>
        </w:rPr>
        <w:fldChar w:fldCharType="end"/>
      </w:r>
      <w:r>
        <w:rPr>
          <w:lang w:val="en-US"/>
        </w:rPr>
        <w:t>).</w:t>
      </w:r>
    </w:p>
    <w:p w:rsidR="00220E1B" w:rsidRDefault="00220E1B" w:rsidP="00220E1B">
      <w:pPr>
        <w:ind w:left="1080"/>
        <w:rPr>
          <w:lang w:val="en-US"/>
        </w:rPr>
      </w:pPr>
    </w:p>
    <w:p w:rsidR="00220E1B" w:rsidRDefault="00220E1B" w:rsidP="00220E1B">
      <w:pPr>
        <w:ind w:left="1080"/>
        <w:rPr>
          <w:lang w:val="en-US"/>
        </w:rPr>
      </w:pPr>
      <w:r>
        <w:rPr>
          <w:lang w:val="en-US"/>
        </w:rPr>
        <w:t>“Before Inhibit</w:t>
      </w:r>
      <w:r>
        <w:rPr>
          <w:lang w:val="en-US"/>
        </w:rPr>
        <w:fldChar w:fldCharType="begin"/>
      </w:r>
      <w:r>
        <w:rPr>
          <w:lang w:val="en-US"/>
        </w:rPr>
        <w:instrText xml:space="preserve"> XE "</w:instrText>
      </w:r>
      <w:r w:rsidRPr="00CA46A0">
        <w:rPr>
          <w:lang w:val="en-US"/>
        </w:rPr>
        <w:instrText>Inhibit"</w:instrText>
      </w:r>
      <w:r>
        <w:rPr>
          <w:lang w:val="en-US"/>
        </w:rPr>
        <w:instrText xml:space="preserve"> </w:instrText>
      </w:r>
      <w:r>
        <w:rPr>
          <w:lang w:val="en-US"/>
        </w:rPr>
        <w:fldChar w:fldCharType="end"/>
      </w:r>
      <w:r>
        <w:rPr>
          <w:lang w:val="en-US"/>
        </w:rPr>
        <w:t xml:space="preserve"> Delay” and “After Inhibit Delay” are delays to catch up for irregularities in the sensors behavior.</w:t>
      </w:r>
    </w:p>
    <w:p w:rsidR="00220E1B" w:rsidRDefault="00220E1B" w:rsidP="00220E1B">
      <w:pPr>
        <w:ind w:left="1080"/>
        <w:rPr>
          <w:lang w:val="en-US"/>
        </w:rPr>
      </w:pPr>
    </w:p>
    <w:p w:rsidR="00220E1B" w:rsidRPr="00D74687" w:rsidRDefault="00220E1B" w:rsidP="00220E1B">
      <w:pPr>
        <w:rPr>
          <w:lang w:val="en-US"/>
        </w:rPr>
      </w:pPr>
      <w:r>
        <w:rPr>
          <w:noProof/>
          <w:lang w:val="nl-NL" w:eastAsia="nl-NL"/>
        </w:rPr>
        <w:drawing>
          <wp:inline distT="0" distB="0" distL="0" distR="0" wp14:anchorId="1F79C479" wp14:editId="1D731FEA">
            <wp:extent cx="5324475" cy="1362075"/>
            <wp:effectExtent l="0" t="0" r="9525" b="9525"/>
            <wp:docPr id="84" name="Afbeelding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24475" cy="1362075"/>
                    </a:xfrm>
                    <a:prstGeom prst="rect">
                      <a:avLst/>
                    </a:prstGeom>
                  </pic:spPr>
                </pic:pic>
              </a:graphicData>
            </a:graphic>
          </wp:inline>
        </w:drawing>
      </w:r>
    </w:p>
    <w:p w:rsidR="00220E1B" w:rsidRDefault="00220E1B" w:rsidP="00220E1B">
      <w:pPr>
        <w:pStyle w:val="Onderschrift"/>
      </w:pPr>
      <w:bookmarkStart w:id="13" w:name="_Ref332278862"/>
      <w:bookmarkStart w:id="14" w:name="_Toc372884322"/>
      <w:r>
        <w:t xml:space="preserve">Figure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Figure \* ARABIC \s 1 </w:instrText>
      </w:r>
      <w:r>
        <w:fldChar w:fldCharType="separate"/>
      </w:r>
      <w:r>
        <w:rPr>
          <w:noProof/>
        </w:rPr>
        <w:t>8</w:t>
      </w:r>
      <w:r>
        <w:fldChar w:fldCharType="end"/>
      </w:r>
      <w:bookmarkEnd w:id="13"/>
      <w:r>
        <w:t>: Inhibit</w:t>
      </w:r>
      <w:r>
        <w:fldChar w:fldCharType="begin"/>
      </w:r>
      <w:r>
        <w:instrText xml:space="preserve"> XE "Inhibit" </w:instrText>
      </w:r>
      <w:r>
        <w:fldChar w:fldCharType="end"/>
      </w:r>
      <w:r>
        <w:t xml:space="preserve"> When</w:t>
      </w:r>
      <w:bookmarkEnd w:id="14"/>
    </w:p>
    <w:p w:rsidR="00220E1B" w:rsidRDefault="00220E1B" w:rsidP="00220E1B">
      <w:pPr>
        <w:pStyle w:val="Onderschrift"/>
      </w:pPr>
      <w:r>
        <w:rPr>
          <w:noProof/>
          <w:lang w:val="nl-NL" w:eastAsia="nl-NL"/>
        </w:rPr>
        <w:drawing>
          <wp:inline distT="0" distB="0" distL="0" distR="0" wp14:anchorId="649C1232" wp14:editId="5272FF39">
            <wp:extent cx="5381625" cy="1314450"/>
            <wp:effectExtent l="0" t="0" r="9525" b="0"/>
            <wp:docPr id="85" name="Afbeelding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81625" cy="1314450"/>
                    </a:xfrm>
                    <a:prstGeom prst="rect">
                      <a:avLst/>
                    </a:prstGeom>
                  </pic:spPr>
                </pic:pic>
              </a:graphicData>
            </a:graphic>
          </wp:inline>
        </w:drawing>
      </w:r>
    </w:p>
    <w:p w:rsidR="00220E1B" w:rsidRDefault="00220E1B" w:rsidP="00220E1B">
      <w:pPr>
        <w:pStyle w:val="Onderschrift"/>
      </w:pPr>
      <w:bookmarkStart w:id="15" w:name="_Ref332279468"/>
      <w:bookmarkStart w:id="16" w:name="_Toc372884323"/>
      <w:r>
        <w:t xml:space="preserve">Figure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Figure \* ARABIC \s 1 </w:instrText>
      </w:r>
      <w:r>
        <w:fldChar w:fldCharType="separate"/>
      </w:r>
      <w:r>
        <w:rPr>
          <w:noProof/>
        </w:rPr>
        <w:t>9</w:t>
      </w:r>
      <w:r>
        <w:fldChar w:fldCharType="end"/>
      </w:r>
      <w:bookmarkEnd w:id="15"/>
      <w:r>
        <w:t>: Inhibit</w:t>
      </w:r>
      <w:r>
        <w:fldChar w:fldCharType="begin"/>
      </w:r>
      <w:r>
        <w:instrText xml:space="preserve"> XE "Inhibit" </w:instrText>
      </w:r>
      <w:r>
        <w:fldChar w:fldCharType="end"/>
      </w:r>
      <w:r>
        <w:t xml:space="preserve"> When 2</w:t>
      </w:r>
      <w:bookmarkEnd w:id="16"/>
    </w:p>
    <w:p w:rsidR="00220E1B" w:rsidRDefault="00220E1B" w:rsidP="00220E1B">
      <w:pPr>
        <w:rPr>
          <w:i/>
          <w:lang w:val="en-US"/>
        </w:rPr>
      </w:pPr>
      <w:r>
        <w:rPr>
          <w:noProof/>
          <w:lang w:val="nl-NL" w:eastAsia="nl-NL"/>
        </w:rPr>
        <w:drawing>
          <wp:inline distT="0" distB="0" distL="0" distR="0" wp14:anchorId="20B61F9A" wp14:editId="05E70E05">
            <wp:extent cx="416379" cy="342900"/>
            <wp:effectExtent l="0" t="0" r="3175" b="0"/>
            <wp:docPr id="148" name="Afbeelding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6379" cy="342900"/>
                    </a:xfrm>
                    <a:prstGeom prst="rect">
                      <a:avLst/>
                    </a:prstGeom>
                  </pic:spPr>
                </pic:pic>
              </a:graphicData>
            </a:graphic>
          </wp:inline>
        </w:drawing>
      </w:r>
      <w:r>
        <w:rPr>
          <w:i/>
          <w:lang w:val="en-US"/>
        </w:rPr>
        <w:br/>
        <w:t>If you specify just</w:t>
      </w:r>
      <w:r w:rsidRPr="009F08DB">
        <w:rPr>
          <w:i/>
          <w:lang w:val="en-US"/>
        </w:rPr>
        <w:t xml:space="preserve"> one inhibit field, make sure the “and/or” box is s</w:t>
      </w:r>
      <w:r>
        <w:rPr>
          <w:i/>
          <w:lang w:val="en-US"/>
        </w:rPr>
        <w:t xml:space="preserve">et to “and”. Otherwise the </w:t>
      </w:r>
      <w:r w:rsidRPr="009F08DB">
        <w:rPr>
          <w:i/>
          <w:lang w:val="en-US"/>
        </w:rPr>
        <w:t>alarm field will not work.</w:t>
      </w:r>
    </w:p>
    <w:p w:rsidR="00220E1B" w:rsidRPr="009F08DB" w:rsidRDefault="00220E1B" w:rsidP="00220E1B">
      <w:pPr>
        <w:jc w:val="center"/>
        <w:rPr>
          <w:i/>
          <w:lang w:val="en-US"/>
        </w:rPr>
      </w:pPr>
    </w:p>
    <w:p w:rsidR="00220E1B" w:rsidRPr="00547D7C" w:rsidRDefault="00220E1B" w:rsidP="00220E1B">
      <w:pPr>
        <w:pStyle w:val="Heading4"/>
        <w:rPr>
          <w:lang w:val="en-US"/>
        </w:rPr>
      </w:pPr>
      <w:bookmarkStart w:id="17" w:name="_Toc372884087"/>
      <w:r>
        <w:rPr>
          <w:lang w:val="en-US"/>
        </w:rPr>
        <w:t>Auxiliary Properties</w:t>
      </w:r>
      <w:bookmarkEnd w:id="17"/>
    </w:p>
    <w:p w:rsidR="00220E1B" w:rsidRPr="00547D7C" w:rsidRDefault="00220E1B" w:rsidP="00220E1B">
      <w:pPr>
        <w:ind w:left="720"/>
        <w:rPr>
          <w:lang w:val="en-US"/>
        </w:rPr>
      </w:pPr>
    </w:p>
    <w:p w:rsidR="00220E1B" w:rsidRDefault="00220E1B" w:rsidP="00220E1B">
      <w:pPr>
        <w:pStyle w:val="ListParagraph"/>
        <w:numPr>
          <w:ilvl w:val="0"/>
          <w:numId w:val="8"/>
        </w:numPr>
        <w:rPr>
          <w:b/>
        </w:rPr>
      </w:pPr>
      <w:r>
        <w:rPr>
          <w:b/>
        </w:rPr>
        <w:t xml:space="preserve">Alarm Sound: </w:t>
      </w:r>
    </w:p>
    <w:p w:rsidR="00220E1B" w:rsidRPr="00AA7FC8" w:rsidRDefault="00220E1B" w:rsidP="00220E1B">
      <w:pPr>
        <w:pStyle w:val="ListParagraph"/>
        <w:ind w:left="1440" w:firstLine="44"/>
      </w:pPr>
      <w:r>
        <w:t xml:space="preserve">Obsolete </w:t>
      </w:r>
    </w:p>
    <w:p w:rsidR="00220E1B" w:rsidRDefault="00220E1B" w:rsidP="00220E1B">
      <w:pPr>
        <w:numPr>
          <w:ilvl w:val="0"/>
          <w:numId w:val="8"/>
        </w:numPr>
        <w:rPr>
          <w:lang w:val="en-US"/>
        </w:rPr>
      </w:pPr>
      <w:r>
        <w:rPr>
          <w:b/>
          <w:lang w:val="en-US"/>
        </w:rPr>
        <w:t>Send SMS When Alarm Active</w:t>
      </w:r>
      <w:r>
        <w:rPr>
          <w:b/>
          <w:lang w:val="en-US"/>
        </w:rPr>
        <w:br/>
      </w:r>
      <w:proofErr w:type="gramStart"/>
      <w:r>
        <w:rPr>
          <w:lang w:val="en-US"/>
        </w:rPr>
        <w:t>If</w:t>
      </w:r>
      <w:proofErr w:type="gramEnd"/>
      <w:r>
        <w:rPr>
          <w:lang w:val="en-US"/>
        </w:rPr>
        <w:t xml:space="preserve"> you have the SMS Alert License</w:t>
      </w:r>
      <w:r>
        <w:rPr>
          <w:lang w:val="en-US"/>
        </w:rPr>
        <w:fldChar w:fldCharType="begin"/>
      </w:r>
      <w:r>
        <w:rPr>
          <w:lang w:val="en-US"/>
        </w:rPr>
        <w:instrText xml:space="preserve"> XE "</w:instrText>
      </w:r>
      <w:r w:rsidRPr="00CA46A0">
        <w:rPr>
          <w:lang w:val="en-US"/>
        </w:rPr>
        <w:instrText>License"</w:instrText>
      </w:r>
      <w:r>
        <w:rPr>
          <w:lang w:val="en-US"/>
        </w:rPr>
        <w:instrText xml:space="preserve"> </w:instrText>
      </w:r>
      <w:r>
        <w:rPr>
          <w:lang w:val="en-US"/>
        </w:rPr>
        <w:fldChar w:fldCharType="end"/>
      </w:r>
      <w:r>
        <w:rPr>
          <w:lang w:val="en-US"/>
        </w:rPr>
        <w:t xml:space="preserve"> you can tick this checkbox to send a text message to your phone, every time the alarm is triggered.</w:t>
      </w:r>
    </w:p>
    <w:p w:rsidR="00220E1B" w:rsidRDefault="00220E1B" w:rsidP="00220E1B">
      <w:pPr>
        <w:numPr>
          <w:ilvl w:val="0"/>
          <w:numId w:val="8"/>
        </w:numPr>
        <w:rPr>
          <w:lang w:val="en-US"/>
        </w:rPr>
      </w:pPr>
      <w:r>
        <w:rPr>
          <w:b/>
          <w:lang w:val="en-US"/>
        </w:rPr>
        <w:t xml:space="preserve">Alarm </w:t>
      </w:r>
      <w:proofErr w:type="gramStart"/>
      <w:r>
        <w:rPr>
          <w:b/>
          <w:lang w:val="en-US"/>
        </w:rPr>
        <w:t>On</w:t>
      </w:r>
      <w:proofErr w:type="gramEnd"/>
      <w:r>
        <w:rPr>
          <w:b/>
          <w:lang w:val="en-US"/>
        </w:rPr>
        <w:t xml:space="preserve"> Request Timeout</w:t>
      </w:r>
      <w:r>
        <w:rPr>
          <w:b/>
          <w:lang w:val="en-US"/>
        </w:rPr>
        <w:br/>
      </w:r>
      <w:r>
        <w:rPr>
          <w:lang w:val="en-US"/>
        </w:rPr>
        <w:t>Especially valves will have a long time to open or close. You can set a timeout on the time to get an alarm if the conditions aren’t met in the given time.</w:t>
      </w:r>
    </w:p>
    <w:p w:rsidR="00220E1B" w:rsidRPr="00547D7C" w:rsidRDefault="00220E1B" w:rsidP="00220E1B">
      <w:pPr>
        <w:numPr>
          <w:ilvl w:val="0"/>
          <w:numId w:val="8"/>
        </w:numPr>
        <w:rPr>
          <w:lang w:val="en-US"/>
        </w:rPr>
      </w:pPr>
      <w:r>
        <w:rPr>
          <w:b/>
          <w:lang w:val="en-US"/>
        </w:rPr>
        <w:t>Alarm When Not Ready</w:t>
      </w:r>
    </w:p>
    <w:p w:rsidR="00220E1B" w:rsidRDefault="00220E1B" w:rsidP="00220E1B">
      <w:pPr>
        <w:ind w:left="1484"/>
        <w:rPr>
          <w:lang w:val="en-US"/>
        </w:rPr>
      </w:pPr>
      <w:r>
        <w:rPr>
          <w:lang w:val="en-US"/>
        </w:rPr>
        <w:t>If the sensor is equipped whit an output to state that it is not ready, tick this checkbox to get an alarm.</w:t>
      </w:r>
    </w:p>
    <w:p w:rsidR="001D66BB" w:rsidRPr="00220E1B" w:rsidRDefault="001D66BB" w:rsidP="00220E1B">
      <w:pPr>
        <w:rPr>
          <w:lang w:val="en-US"/>
        </w:rPr>
      </w:pPr>
      <w:bookmarkStart w:id="18" w:name="_GoBack"/>
      <w:bookmarkEnd w:id="18"/>
    </w:p>
    <w:sectPr w:rsidR="001D66BB" w:rsidRPr="00220E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7915DA"/>
    <w:multiLevelType w:val="hybridMultilevel"/>
    <w:tmpl w:val="E6F61F3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7E548E"/>
    <w:multiLevelType w:val="hybridMultilevel"/>
    <w:tmpl w:val="271A900C"/>
    <w:lvl w:ilvl="0" w:tplc="CE3A1732">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2B0C7A"/>
    <w:multiLevelType w:val="hybridMultilevel"/>
    <w:tmpl w:val="C1AA2E7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164DBC"/>
    <w:multiLevelType w:val="hybridMultilevel"/>
    <w:tmpl w:val="C08AFC1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80B7F69"/>
    <w:multiLevelType w:val="hybridMultilevel"/>
    <w:tmpl w:val="446428CA"/>
    <w:lvl w:ilvl="0" w:tplc="04130003">
      <w:start w:val="1"/>
      <w:numFmt w:val="bullet"/>
      <w:lvlText w:val="o"/>
      <w:lvlJc w:val="left"/>
      <w:pPr>
        <w:tabs>
          <w:tab w:val="num" w:pos="1484"/>
        </w:tabs>
        <w:ind w:left="1484" w:hanging="360"/>
      </w:pPr>
      <w:rPr>
        <w:rFonts w:ascii="Courier New" w:hAnsi="Courier New" w:cs="Courier New" w:hint="default"/>
      </w:rPr>
    </w:lvl>
    <w:lvl w:ilvl="1" w:tplc="04090003">
      <w:start w:val="1"/>
      <w:numFmt w:val="bullet"/>
      <w:lvlText w:val="o"/>
      <w:lvlJc w:val="left"/>
      <w:pPr>
        <w:tabs>
          <w:tab w:val="num" w:pos="2204"/>
        </w:tabs>
        <w:ind w:left="2204" w:hanging="360"/>
      </w:pPr>
      <w:rPr>
        <w:rFonts w:ascii="Courier New" w:hAnsi="Courier New" w:cs="Courier New" w:hint="default"/>
      </w:rPr>
    </w:lvl>
    <w:lvl w:ilvl="2" w:tplc="04090005" w:tentative="1">
      <w:start w:val="1"/>
      <w:numFmt w:val="bullet"/>
      <w:lvlText w:val=""/>
      <w:lvlJc w:val="left"/>
      <w:pPr>
        <w:tabs>
          <w:tab w:val="num" w:pos="2924"/>
        </w:tabs>
        <w:ind w:left="2924" w:hanging="360"/>
      </w:pPr>
      <w:rPr>
        <w:rFonts w:ascii="Wingdings" w:hAnsi="Wingdings" w:hint="default"/>
      </w:rPr>
    </w:lvl>
    <w:lvl w:ilvl="3" w:tplc="04090001" w:tentative="1">
      <w:start w:val="1"/>
      <w:numFmt w:val="bullet"/>
      <w:lvlText w:val=""/>
      <w:lvlJc w:val="left"/>
      <w:pPr>
        <w:tabs>
          <w:tab w:val="num" w:pos="3644"/>
        </w:tabs>
        <w:ind w:left="3644" w:hanging="360"/>
      </w:pPr>
      <w:rPr>
        <w:rFonts w:ascii="Symbol" w:hAnsi="Symbol" w:hint="default"/>
      </w:rPr>
    </w:lvl>
    <w:lvl w:ilvl="4" w:tplc="04090003" w:tentative="1">
      <w:start w:val="1"/>
      <w:numFmt w:val="bullet"/>
      <w:lvlText w:val="o"/>
      <w:lvlJc w:val="left"/>
      <w:pPr>
        <w:tabs>
          <w:tab w:val="num" w:pos="4364"/>
        </w:tabs>
        <w:ind w:left="4364" w:hanging="360"/>
      </w:pPr>
      <w:rPr>
        <w:rFonts w:ascii="Courier New" w:hAnsi="Courier New" w:cs="Courier New" w:hint="default"/>
      </w:rPr>
    </w:lvl>
    <w:lvl w:ilvl="5" w:tplc="04090005" w:tentative="1">
      <w:start w:val="1"/>
      <w:numFmt w:val="bullet"/>
      <w:lvlText w:val=""/>
      <w:lvlJc w:val="left"/>
      <w:pPr>
        <w:tabs>
          <w:tab w:val="num" w:pos="5084"/>
        </w:tabs>
        <w:ind w:left="5084" w:hanging="360"/>
      </w:pPr>
      <w:rPr>
        <w:rFonts w:ascii="Wingdings" w:hAnsi="Wingdings" w:hint="default"/>
      </w:rPr>
    </w:lvl>
    <w:lvl w:ilvl="6" w:tplc="04090001" w:tentative="1">
      <w:start w:val="1"/>
      <w:numFmt w:val="bullet"/>
      <w:lvlText w:val=""/>
      <w:lvlJc w:val="left"/>
      <w:pPr>
        <w:tabs>
          <w:tab w:val="num" w:pos="5804"/>
        </w:tabs>
        <w:ind w:left="5804" w:hanging="360"/>
      </w:pPr>
      <w:rPr>
        <w:rFonts w:ascii="Symbol" w:hAnsi="Symbol" w:hint="default"/>
      </w:rPr>
    </w:lvl>
    <w:lvl w:ilvl="7" w:tplc="04090003" w:tentative="1">
      <w:start w:val="1"/>
      <w:numFmt w:val="bullet"/>
      <w:lvlText w:val="o"/>
      <w:lvlJc w:val="left"/>
      <w:pPr>
        <w:tabs>
          <w:tab w:val="num" w:pos="6524"/>
        </w:tabs>
        <w:ind w:left="6524" w:hanging="360"/>
      </w:pPr>
      <w:rPr>
        <w:rFonts w:ascii="Courier New" w:hAnsi="Courier New" w:cs="Courier New" w:hint="default"/>
      </w:rPr>
    </w:lvl>
    <w:lvl w:ilvl="8" w:tplc="04090005" w:tentative="1">
      <w:start w:val="1"/>
      <w:numFmt w:val="bullet"/>
      <w:lvlText w:val=""/>
      <w:lvlJc w:val="left"/>
      <w:pPr>
        <w:tabs>
          <w:tab w:val="num" w:pos="7244"/>
        </w:tabs>
        <w:ind w:left="7244" w:hanging="360"/>
      </w:pPr>
      <w:rPr>
        <w:rFonts w:ascii="Wingdings" w:hAnsi="Wingdings" w:hint="default"/>
      </w:rPr>
    </w:lvl>
  </w:abstractNum>
  <w:abstractNum w:abstractNumId="6">
    <w:nsid w:val="61EB2FC0"/>
    <w:multiLevelType w:val="hybridMultilevel"/>
    <w:tmpl w:val="2264D58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27833D9"/>
    <w:multiLevelType w:val="hybridMultilevel"/>
    <w:tmpl w:val="1520F20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083"/>
    <w:rsid w:val="000800BE"/>
    <w:rsid w:val="001D66BB"/>
    <w:rsid w:val="00220E1B"/>
    <w:rsid w:val="006C3083"/>
    <w:rsid w:val="00D33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3E5F5-9DDA-4C5F-94C4-E29D9DCC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083"/>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6C3083"/>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6C3083"/>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6C3083"/>
    <w:pPr>
      <w:numPr>
        <w:ilvl w:val="2"/>
      </w:numPr>
      <w:outlineLvl w:val="2"/>
    </w:pPr>
    <w:rPr>
      <w:sz w:val="22"/>
    </w:rPr>
  </w:style>
  <w:style w:type="paragraph" w:styleId="Heading4">
    <w:name w:val="heading 4"/>
    <w:aliases w:val="Sectie"/>
    <w:basedOn w:val="Heading2"/>
    <w:next w:val="Normal"/>
    <w:link w:val="Heading4Char"/>
    <w:qFormat/>
    <w:rsid w:val="006C3083"/>
    <w:pPr>
      <w:numPr>
        <w:ilvl w:val="3"/>
      </w:numPr>
      <w:outlineLvl w:val="3"/>
    </w:pPr>
  </w:style>
  <w:style w:type="paragraph" w:styleId="Heading5">
    <w:name w:val="heading 5"/>
    <w:aliases w:val="Onderdeel"/>
    <w:basedOn w:val="Heading2"/>
    <w:next w:val="Normal"/>
    <w:link w:val="Heading5Char"/>
    <w:qFormat/>
    <w:rsid w:val="006C3083"/>
    <w:pPr>
      <w:numPr>
        <w:ilvl w:val="4"/>
      </w:numPr>
      <w:outlineLvl w:val="4"/>
    </w:pPr>
  </w:style>
  <w:style w:type="paragraph" w:styleId="Heading6">
    <w:name w:val="heading 6"/>
    <w:basedOn w:val="Heading2"/>
    <w:next w:val="Normal"/>
    <w:link w:val="Heading6Char"/>
    <w:qFormat/>
    <w:rsid w:val="006C3083"/>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6C3083"/>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6C3083"/>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6C3083"/>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6C3083"/>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6C3083"/>
    <w:rPr>
      <w:rFonts w:ascii="Arial" w:eastAsiaTheme="majorEastAsia" w:hAnsi="Arial" w:cstheme="majorBidi"/>
      <w:b/>
      <w:szCs w:val="20"/>
      <w:lang w:val="en-GB"/>
    </w:rPr>
  </w:style>
  <w:style w:type="character" w:customStyle="1" w:styleId="Heading4Char">
    <w:name w:val="Heading 4 Char"/>
    <w:basedOn w:val="DefaultParagraphFont"/>
    <w:link w:val="Heading4"/>
    <w:rsid w:val="006C3083"/>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6C3083"/>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6C3083"/>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6C3083"/>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6C3083"/>
    <w:rPr>
      <w:rFonts w:ascii="Arial" w:eastAsiaTheme="majorEastAsia" w:hAnsi="Arial" w:cstheme="majorBidi"/>
      <w:b/>
      <w:sz w:val="24"/>
      <w:szCs w:val="20"/>
      <w:lang w:val="en-GB"/>
    </w:rPr>
  </w:style>
  <w:style w:type="paragraph" w:customStyle="1" w:styleId="Text">
    <w:name w:val="Text"/>
    <w:basedOn w:val="Normal"/>
    <w:link w:val="TextChar"/>
    <w:rsid w:val="006C3083"/>
  </w:style>
  <w:style w:type="character" w:customStyle="1" w:styleId="TextChar">
    <w:name w:val="Text Char"/>
    <w:link w:val="Text"/>
    <w:rsid w:val="006C3083"/>
    <w:rPr>
      <w:rFonts w:ascii="Arial" w:eastAsia="Times New Roman" w:hAnsi="Arial" w:cs="Times New Roman"/>
      <w:szCs w:val="20"/>
      <w:lang w:val="en-GB"/>
    </w:rPr>
  </w:style>
  <w:style w:type="paragraph" w:customStyle="1" w:styleId="Geenafstand1">
    <w:name w:val="Geen afstand1"/>
    <w:link w:val="NoSpacingChar"/>
    <w:rsid w:val="006C3083"/>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C3083"/>
    <w:rPr>
      <w:rFonts w:ascii="Calibri" w:eastAsia="Times New Roman" w:hAnsi="Calibri" w:cs="Times New Roman"/>
      <w:sz w:val="20"/>
      <w:szCs w:val="20"/>
    </w:rPr>
  </w:style>
  <w:style w:type="paragraph" w:customStyle="1" w:styleId="Onderschrift">
    <w:name w:val="Onderschrift"/>
    <w:basedOn w:val="Caption"/>
    <w:autoRedefine/>
    <w:qFormat/>
    <w:rsid w:val="006C3083"/>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6C3083"/>
    <w:pPr>
      <w:spacing w:after="200"/>
    </w:pPr>
    <w:rPr>
      <w:i/>
      <w:iCs/>
      <w:color w:val="44546A" w:themeColor="text2"/>
      <w:sz w:val="18"/>
      <w:szCs w:val="18"/>
    </w:rPr>
  </w:style>
  <w:style w:type="paragraph" w:styleId="ListParagraph">
    <w:name w:val="List Paragraph"/>
    <w:basedOn w:val="Normal"/>
    <w:uiPriority w:val="99"/>
    <w:rsid w:val="00220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941</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2014-11-26T15:11:00Z</dcterms:created>
  <dcterms:modified xsi:type="dcterms:W3CDTF">2014-11-26T15:11:00Z</dcterms:modified>
</cp:coreProperties>
</file>