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A1" w:rsidRDefault="002014A1" w:rsidP="002014A1">
      <w:pPr>
        <w:pStyle w:val="Heading2"/>
        <w:rPr>
          <w:lang w:val="en-US"/>
        </w:rPr>
      </w:pPr>
      <w:bookmarkStart w:id="0" w:name="_Toc402443063"/>
      <w:r>
        <w:rPr>
          <w:lang w:val="en-US"/>
        </w:rPr>
        <w:t>License</w:t>
      </w:r>
      <w:bookmarkEnd w:id="0"/>
      <w:r>
        <w:rPr>
          <w:lang w:val="en-US"/>
        </w:rPr>
        <w:fldChar w:fldCharType="begin"/>
      </w:r>
      <w:r>
        <w:rPr>
          <w:lang w:val="en-US"/>
        </w:rPr>
        <w:instrText xml:space="preserve"> XE "</w:instrText>
      </w:r>
      <w:r>
        <w:instrText>License"</w:instrText>
      </w:r>
      <w:r>
        <w:rPr>
          <w:lang w:val="en-US"/>
        </w:rPr>
        <w:instrText xml:space="preserve"> </w:instrText>
      </w:r>
      <w:r>
        <w:rPr>
          <w:lang w:val="en-US"/>
        </w:rPr>
        <w:fldChar w:fldCharType="end"/>
      </w:r>
    </w:p>
    <w:p w:rsidR="002014A1" w:rsidRDefault="002014A1" w:rsidP="002014A1">
      <w:pPr>
        <w:rPr>
          <w:lang w:val="en-US"/>
        </w:rPr>
      </w:pPr>
      <w:r>
        <w:rPr>
          <w:lang w:val="en-US"/>
        </w:rPr>
        <w:t xml:space="preserve">To give rights to use a specific part of the software, NavVision  uses licenses to open up these parts of the software. Depending on which licenses are bought, viewers will be visible and strings will be processed (see </w:t>
      </w:r>
      <w:r>
        <w:rPr>
          <w:lang w:val="en-US"/>
        </w:rPr>
        <w:fldChar w:fldCharType="begin"/>
      </w:r>
      <w:r>
        <w:rPr>
          <w:lang w:val="en-US"/>
        </w:rPr>
        <w:instrText xml:space="preserve"> REF _Ref333580126 \h </w:instrText>
      </w:r>
      <w:r>
        <w:rPr>
          <w:lang w:val="en-US"/>
        </w:rPr>
      </w:r>
      <w:r>
        <w:rPr>
          <w:lang w:val="en-US"/>
        </w:rPr>
        <w:fldChar w:fldCharType="separate"/>
      </w:r>
      <w:r>
        <w:t xml:space="preserve">Figure </w:t>
      </w:r>
      <w:r>
        <w:rPr>
          <w:noProof/>
        </w:rPr>
        <w:t>2</w:t>
      </w:r>
      <w:r>
        <w:noBreakHyphen/>
      </w:r>
      <w:r>
        <w:rPr>
          <w:noProof/>
        </w:rPr>
        <w:t>13</w:t>
      </w:r>
      <w:r>
        <w:rPr>
          <w:lang w:val="en-US"/>
        </w:rPr>
        <w:fldChar w:fldCharType="end"/>
      </w:r>
      <w:r>
        <w:rPr>
          <w:lang w:val="en-US"/>
        </w:rPr>
        <w:t>).</w:t>
      </w:r>
    </w:p>
    <w:p w:rsidR="002014A1" w:rsidRDefault="002014A1" w:rsidP="002014A1">
      <w:pPr>
        <w:rPr>
          <w:lang w:val="en-US"/>
        </w:rPr>
      </w:pPr>
    </w:p>
    <w:p w:rsidR="002014A1" w:rsidRDefault="002014A1" w:rsidP="002014A1">
      <w:pPr>
        <w:rPr>
          <w:lang w:val="en-US"/>
        </w:rPr>
      </w:pPr>
      <w:r>
        <w:rPr>
          <w:lang w:val="en-US"/>
        </w:rPr>
        <w:t>Under “License</w:t>
      </w:r>
      <w:r>
        <w:rPr>
          <w:lang w:val="en-US"/>
        </w:rPr>
        <w:fldChar w:fldCharType="begin"/>
      </w:r>
      <w:r>
        <w:rPr>
          <w:lang w:val="en-US"/>
        </w:rPr>
        <w:instrText xml:space="preserve"> XE "</w:instrText>
      </w:r>
      <w:r w:rsidRPr="00CA46A0">
        <w:rPr>
          <w:lang w:val="en-US"/>
        </w:rPr>
        <w:instrText>License"</w:instrText>
      </w:r>
      <w:r>
        <w:rPr>
          <w:lang w:val="en-US"/>
        </w:rPr>
        <w:instrText xml:space="preserve"> </w:instrText>
      </w:r>
      <w:r>
        <w:rPr>
          <w:lang w:val="en-US"/>
        </w:rPr>
        <w:fldChar w:fldCharType="end"/>
      </w:r>
      <w:r>
        <w:rPr>
          <w:lang w:val="en-US"/>
        </w:rPr>
        <w:t>” you can see which viewers, communication etc. are opened in your version. If you see a license and it is green, this means that the license is valid. If the license is red it is not valid. If there is no license and the stripes in the box are green or red it means the same, only than the license is freed up by another license (i.e. Navigation Pro license will also open up NMEA, so the stripes under NMEA will be green).</w:t>
      </w:r>
    </w:p>
    <w:p w:rsidR="002014A1" w:rsidRDefault="002014A1" w:rsidP="002014A1">
      <w:pPr>
        <w:rPr>
          <w:lang w:val="en-US"/>
        </w:rPr>
      </w:pPr>
    </w:p>
    <w:p w:rsidR="002014A1" w:rsidRDefault="002014A1" w:rsidP="002014A1">
      <w:pPr>
        <w:rPr>
          <w:lang w:val="en-US"/>
        </w:rPr>
      </w:pPr>
      <w:r>
        <w:rPr>
          <w:lang w:val="en-US"/>
        </w:rPr>
        <w:t>Normally you won’t have to alter anything here. Free Technics will provide you with a “Key.uc.ini” with all the necessary licenses available. The program will read the licenses from the ini-file and put them in place at startup. Sometimes however you can check here if you miss a certain viewer or if a communication protocol doesn’t seem to work. If you are missing a single license, you can fill it in here and it will be set in the ini-file as well.</w:t>
      </w:r>
    </w:p>
    <w:p w:rsidR="002014A1" w:rsidRDefault="002014A1" w:rsidP="002014A1">
      <w:pPr>
        <w:rPr>
          <w:lang w:val="en-US"/>
        </w:rPr>
      </w:pPr>
    </w:p>
    <w:p w:rsidR="002014A1" w:rsidRDefault="002014A1" w:rsidP="002014A1">
      <w:pPr>
        <w:rPr>
          <w:i/>
          <w:lang w:val="en-US"/>
        </w:rPr>
      </w:pPr>
      <w:r>
        <w:rPr>
          <w:noProof/>
          <w:lang w:val="nl-NL" w:eastAsia="nl-NL"/>
        </w:rPr>
        <w:drawing>
          <wp:inline distT="0" distB="0" distL="0" distR="0" wp14:anchorId="3958E3A0" wp14:editId="22213D2E">
            <wp:extent cx="416379" cy="342900"/>
            <wp:effectExtent l="0" t="0" r="3175" b="0"/>
            <wp:docPr id="160" name="Afbeelding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379" cy="342900"/>
                    </a:xfrm>
                    <a:prstGeom prst="rect">
                      <a:avLst/>
                    </a:prstGeom>
                  </pic:spPr>
                </pic:pic>
              </a:graphicData>
            </a:graphic>
          </wp:inline>
        </w:drawing>
      </w:r>
      <w:r w:rsidRPr="008B4ABA">
        <w:rPr>
          <w:i/>
          <w:lang w:val="en-US"/>
        </w:rPr>
        <w:t>: Missing licenses are also mentioned in the logbook. Please refer to the chapter “Logbook</w:t>
      </w:r>
      <w:r>
        <w:rPr>
          <w:i/>
          <w:lang w:val="en-US"/>
        </w:rPr>
        <w:fldChar w:fldCharType="begin"/>
      </w:r>
      <w:r>
        <w:rPr>
          <w:i/>
          <w:lang w:val="en-US"/>
        </w:rPr>
        <w:instrText xml:space="preserve"> XE "</w:instrText>
      </w:r>
      <w:r w:rsidRPr="00CA46A0">
        <w:rPr>
          <w:lang w:val="en-US"/>
        </w:rPr>
        <w:instrText>Logbook"</w:instrText>
      </w:r>
      <w:r>
        <w:rPr>
          <w:i/>
          <w:lang w:val="en-US"/>
        </w:rPr>
        <w:instrText xml:space="preserve"> </w:instrText>
      </w:r>
      <w:r>
        <w:rPr>
          <w:i/>
          <w:lang w:val="en-US"/>
        </w:rPr>
        <w:fldChar w:fldCharType="end"/>
      </w:r>
      <w:r w:rsidRPr="008B4ABA">
        <w:rPr>
          <w:i/>
          <w:lang w:val="en-US"/>
        </w:rPr>
        <w:t>” for more information.</w:t>
      </w:r>
    </w:p>
    <w:p w:rsidR="002014A1" w:rsidRDefault="002014A1" w:rsidP="002014A1">
      <w:pPr>
        <w:rPr>
          <w:i/>
          <w:lang w:val="en-US"/>
        </w:rPr>
      </w:pPr>
    </w:p>
    <w:p w:rsidR="002014A1" w:rsidRDefault="002014A1" w:rsidP="002014A1">
      <w:pPr>
        <w:rPr>
          <w:lang w:val="en-US"/>
        </w:rPr>
      </w:pPr>
      <w:r>
        <w:rPr>
          <w:noProof/>
          <w:lang w:val="nl-NL" w:eastAsia="nl-NL"/>
        </w:rPr>
        <w:drawing>
          <wp:inline distT="0" distB="0" distL="0" distR="0" wp14:anchorId="7034CF32" wp14:editId="34FDA7ED">
            <wp:extent cx="5760720" cy="1361480"/>
            <wp:effectExtent l="0" t="0" r="0" b="0"/>
            <wp:docPr id="184" name="Afbeelding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361480"/>
                    </a:xfrm>
                    <a:prstGeom prst="rect">
                      <a:avLst/>
                    </a:prstGeom>
                  </pic:spPr>
                </pic:pic>
              </a:graphicData>
            </a:graphic>
          </wp:inline>
        </w:drawing>
      </w:r>
    </w:p>
    <w:p w:rsidR="002014A1" w:rsidRDefault="002014A1" w:rsidP="002014A1">
      <w:pPr>
        <w:pStyle w:val="Onderschrift"/>
      </w:pPr>
      <w:bookmarkStart w:id="1" w:name="_Ref333580126"/>
      <w:bookmarkStart w:id="2" w:name="_Toc402443250"/>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13</w:t>
      </w:r>
      <w:r>
        <w:fldChar w:fldCharType="end"/>
      </w:r>
      <w:bookmarkEnd w:id="1"/>
      <w:r>
        <w:t>: License</w:t>
      </w:r>
      <w:bookmarkEnd w:id="2"/>
      <w:r>
        <w:fldChar w:fldCharType="begin"/>
      </w:r>
      <w:r>
        <w:instrText xml:space="preserve"> XE "License" </w:instrText>
      </w:r>
      <w:r>
        <w:fldChar w:fldCharType="end"/>
      </w:r>
    </w:p>
    <w:p w:rsidR="001D66BB" w:rsidRPr="002014A1" w:rsidRDefault="001D66BB" w:rsidP="002014A1">
      <w:bookmarkStart w:id="3" w:name="_GoBack"/>
      <w:bookmarkEnd w:id="3"/>
    </w:p>
    <w:sectPr w:rsidR="001D66BB" w:rsidRPr="002014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173" w:rsidRDefault="00202173" w:rsidP="00FC531B">
      <w:r>
        <w:separator/>
      </w:r>
    </w:p>
  </w:endnote>
  <w:endnote w:type="continuationSeparator" w:id="0">
    <w:p w:rsidR="00202173" w:rsidRDefault="00202173" w:rsidP="00FC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173" w:rsidRDefault="00202173" w:rsidP="00FC531B">
      <w:r>
        <w:separator/>
      </w:r>
    </w:p>
  </w:footnote>
  <w:footnote w:type="continuationSeparator" w:id="0">
    <w:p w:rsidR="00202173" w:rsidRDefault="00202173" w:rsidP="00FC53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0A"/>
    <w:rsid w:val="000800BE"/>
    <w:rsid w:val="000C2573"/>
    <w:rsid w:val="001A27C2"/>
    <w:rsid w:val="001D66BB"/>
    <w:rsid w:val="001F1E02"/>
    <w:rsid w:val="002014A1"/>
    <w:rsid w:val="00202173"/>
    <w:rsid w:val="002C4A81"/>
    <w:rsid w:val="003D677A"/>
    <w:rsid w:val="004F620A"/>
    <w:rsid w:val="0075142F"/>
    <w:rsid w:val="00B7494B"/>
    <w:rsid w:val="00B96C53"/>
    <w:rsid w:val="00C63B38"/>
    <w:rsid w:val="00C80A19"/>
    <w:rsid w:val="00D33DAB"/>
    <w:rsid w:val="00E36A87"/>
    <w:rsid w:val="00FC5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4B18A-8D5B-4252-BE50-EED3FF0E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0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4F620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4F620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4F620A"/>
    <w:pPr>
      <w:numPr>
        <w:ilvl w:val="2"/>
      </w:numPr>
      <w:outlineLvl w:val="2"/>
    </w:pPr>
    <w:rPr>
      <w:sz w:val="22"/>
    </w:rPr>
  </w:style>
  <w:style w:type="paragraph" w:styleId="Heading4">
    <w:name w:val="heading 4"/>
    <w:aliases w:val="Sectie"/>
    <w:basedOn w:val="Heading2"/>
    <w:next w:val="Normal"/>
    <w:link w:val="Heading4Char"/>
    <w:qFormat/>
    <w:rsid w:val="004F620A"/>
    <w:pPr>
      <w:numPr>
        <w:ilvl w:val="3"/>
      </w:numPr>
      <w:outlineLvl w:val="3"/>
    </w:pPr>
  </w:style>
  <w:style w:type="paragraph" w:styleId="Heading5">
    <w:name w:val="heading 5"/>
    <w:aliases w:val="Onderdeel"/>
    <w:basedOn w:val="Heading2"/>
    <w:next w:val="Normal"/>
    <w:link w:val="Heading5Char"/>
    <w:qFormat/>
    <w:rsid w:val="004F620A"/>
    <w:pPr>
      <w:numPr>
        <w:ilvl w:val="4"/>
      </w:numPr>
      <w:outlineLvl w:val="4"/>
    </w:pPr>
  </w:style>
  <w:style w:type="paragraph" w:styleId="Heading6">
    <w:name w:val="heading 6"/>
    <w:basedOn w:val="Heading2"/>
    <w:next w:val="Normal"/>
    <w:link w:val="Heading6Char"/>
    <w:qFormat/>
    <w:rsid w:val="004F620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4F620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4F620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20A"/>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4F620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4F620A"/>
    <w:rPr>
      <w:rFonts w:ascii="Arial" w:eastAsiaTheme="majorEastAsia" w:hAnsi="Arial" w:cstheme="majorBidi"/>
      <w:b/>
      <w:szCs w:val="20"/>
      <w:lang w:val="en-GB"/>
    </w:rPr>
  </w:style>
  <w:style w:type="character" w:customStyle="1" w:styleId="Heading4Char">
    <w:name w:val="Heading 4 Char"/>
    <w:basedOn w:val="DefaultParagraphFont"/>
    <w:link w:val="Heading4"/>
    <w:rsid w:val="004F620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4F620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4F620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4F620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4F620A"/>
    <w:rPr>
      <w:rFonts w:ascii="Arial" w:eastAsiaTheme="majorEastAsia" w:hAnsi="Arial" w:cstheme="majorBidi"/>
      <w:b/>
      <w:sz w:val="24"/>
      <w:szCs w:val="20"/>
      <w:lang w:val="en-GB"/>
    </w:rPr>
  </w:style>
  <w:style w:type="paragraph" w:customStyle="1" w:styleId="Onderschrift">
    <w:name w:val="Onderschrift"/>
    <w:basedOn w:val="Caption"/>
    <w:autoRedefine/>
    <w:qFormat/>
    <w:rsid w:val="004F620A"/>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4F620A"/>
    <w:pPr>
      <w:spacing w:after="200"/>
    </w:pPr>
    <w:rPr>
      <w:i/>
      <w:iCs/>
      <w:color w:val="44546A" w:themeColor="text2"/>
      <w:sz w:val="18"/>
      <w:szCs w:val="18"/>
    </w:rPr>
  </w:style>
  <w:style w:type="character" w:styleId="FootnoteReference">
    <w:name w:val="footnote reference"/>
    <w:semiHidden/>
    <w:rsid w:val="00FC531B"/>
    <w:rPr>
      <w:position w:val="6"/>
      <w:sz w:val="16"/>
    </w:rPr>
  </w:style>
  <w:style w:type="paragraph" w:styleId="FootnoteText">
    <w:name w:val="footnote text"/>
    <w:basedOn w:val="Normal"/>
    <w:link w:val="FootnoteTextChar"/>
    <w:semiHidden/>
    <w:rsid w:val="00FC531B"/>
  </w:style>
  <w:style w:type="character" w:customStyle="1" w:styleId="FootnoteTextChar">
    <w:name w:val="Footnote Text Char"/>
    <w:basedOn w:val="DefaultParagraphFont"/>
    <w:link w:val="FootnoteText"/>
    <w:semiHidden/>
    <w:rsid w:val="00FC531B"/>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2014-11-21T12:53:00Z</dcterms:created>
  <dcterms:modified xsi:type="dcterms:W3CDTF">2014-11-21T12:53:00Z</dcterms:modified>
</cp:coreProperties>
</file>