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573" w:rsidRDefault="000C2573" w:rsidP="000C2573">
      <w:pPr>
        <w:pStyle w:val="Heading2"/>
        <w:rPr>
          <w:lang w:val="en-US"/>
        </w:rPr>
      </w:pPr>
      <w:bookmarkStart w:id="0" w:name="_Toc402443055"/>
      <w:r w:rsidRPr="00310C70">
        <w:rPr>
          <w:lang w:val="en-US"/>
        </w:rPr>
        <w:t>Taskbar</w:t>
      </w:r>
      <w:bookmarkEnd w:id="0"/>
    </w:p>
    <w:p w:rsidR="000C2573" w:rsidRPr="005F6785" w:rsidRDefault="000C2573" w:rsidP="000C2573">
      <w:pPr>
        <w:pStyle w:val="Heading3"/>
        <w:rPr>
          <w:lang w:val="en-US"/>
        </w:rPr>
      </w:pPr>
      <w:bookmarkStart w:id="1" w:name="_Toc402443056"/>
      <w:r>
        <w:rPr>
          <w:lang w:val="en-US"/>
        </w:rPr>
        <w:t>General</w:t>
      </w:r>
      <w:bookmarkEnd w:id="1"/>
    </w:p>
    <w:p w:rsidR="000C2573" w:rsidRDefault="000C2573" w:rsidP="000C2573">
      <w:pPr>
        <w:rPr>
          <w:rFonts w:cs="Arial"/>
          <w:sz w:val="21"/>
          <w:szCs w:val="21"/>
          <w:lang w:val="en-US"/>
        </w:rPr>
      </w:pPr>
      <w:r>
        <w:rPr>
          <w:rFonts w:cs="Arial"/>
          <w:sz w:val="21"/>
          <w:szCs w:val="21"/>
          <w:lang w:val="en-US"/>
        </w:rPr>
        <w:t xml:space="preserve">To open the NavVision </w:t>
      </w:r>
      <w:r w:rsidRPr="003026EF">
        <w:rPr>
          <w:rFonts w:cs="Arial"/>
          <w:sz w:val="21"/>
          <w:szCs w:val="21"/>
          <w:vertAlign w:val="superscript"/>
          <w:lang w:val="en-US"/>
        </w:rPr>
        <w:t>®</w:t>
      </w:r>
      <w:r w:rsidRPr="005F6785">
        <w:rPr>
          <w:rFonts w:cs="Arial"/>
          <w:sz w:val="13"/>
          <w:szCs w:val="13"/>
          <w:lang w:val="en-US"/>
        </w:rPr>
        <w:t xml:space="preserve"> </w:t>
      </w:r>
      <w:r>
        <w:rPr>
          <w:rFonts w:cs="Arial"/>
          <w:sz w:val="21"/>
          <w:szCs w:val="21"/>
          <w:lang w:val="en-US"/>
        </w:rPr>
        <w:t>taskbar menu, select “Tools &gt; Taskbar”.</w:t>
      </w:r>
    </w:p>
    <w:p w:rsidR="000C2573" w:rsidRDefault="000C2573" w:rsidP="000C2573">
      <w:pPr>
        <w:rPr>
          <w:rFonts w:cs="Arial"/>
          <w:sz w:val="21"/>
          <w:szCs w:val="21"/>
          <w:lang w:val="en-US"/>
        </w:rPr>
      </w:pPr>
      <w:r>
        <w:rPr>
          <w:rFonts w:cs="Arial"/>
          <w:sz w:val="21"/>
          <w:szCs w:val="21"/>
          <w:lang w:val="en-US"/>
        </w:rPr>
        <w:t>The</w:t>
      </w:r>
      <w:r w:rsidRPr="005F6785">
        <w:rPr>
          <w:rFonts w:cs="Arial"/>
          <w:sz w:val="21"/>
          <w:szCs w:val="21"/>
          <w:lang w:val="en-US"/>
        </w:rPr>
        <w:t xml:space="preserve"> </w:t>
      </w:r>
      <w:r>
        <w:rPr>
          <w:rFonts w:cs="Arial"/>
          <w:sz w:val="21"/>
          <w:szCs w:val="21"/>
          <w:lang w:val="en-US"/>
        </w:rPr>
        <w:t xml:space="preserve">taskbar menu </w:t>
      </w:r>
      <w:r w:rsidRPr="005F6785">
        <w:rPr>
          <w:rFonts w:cs="Arial"/>
          <w:sz w:val="21"/>
          <w:szCs w:val="21"/>
          <w:lang w:val="en-US"/>
        </w:rPr>
        <w:t>is used to c</w:t>
      </w:r>
      <w:r>
        <w:rPr>
          <w:rFonts w:cs="Arial"/>
          <w:sz w:val="21"/>
          <w:szCs w:val="21"/>
          <w:lang w:val="en-US"/>
        </w:rPr>
        <w:t xml:space="preserve">onfigure the </w:t>
      </w:r>
      <w:r w:rsidRPr="005F6785">
        <w:rPr>
          <w:rFonts w:cs="Arial"/>
          <w:sz w:val="21"/>
          <w:szCs w:val="21"/>
          <w:lang w:val="en-US"/>
        </w:rPr>
        <w:t xml:space="preserve">taskbar. </w:t>
      </w:r>
    </w:p>
    <w:p w:rsidR="000C2573" w:rsidRDefault="000C2573" w:rsidP="000C2573">
      <w:pPr>
        <w:rPr>
          <w:rFonts w:cs="Arial"/>
          <w:sz w:val="21"/>
          <w:szCs w:val="21"/>
          <w:lang w:val="en-US"/>
        </w:rPr>
      </w:pPr>
    </w:p>
    <w:p w:rsidR="000C2573" w:rsidRDefault="000C2573" w:rsidP="000C2573">
      <w:pPr>
        <w:keepNext/>
      </w:pPr>
      <w:r>
        <w:rPr>
          <w:noProof/>
          <w:lang w:val="nl-NL" w:eastAsia="nl-NL"/>
        </w:rPr>
        <w:drawing>
          <wp:inline distT="0" distB="0" distL="0" distR="0" wp14:anchorId="318F79D5" wp14:editId="6841AE27">
            <wp:extent cx="5476875" cy="7381875"/>
            <wp:effectExtent l="0" t="0" r="9525" b="9525"/>
            <wp:docPr id="87" name="Afbeelding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738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573" w:rsidRPr="00D92197" w:rsidRDefault="000C2573" w:rsidP="000C2573">
      <w:pPr>
        <w:pStyle w:val="Onderschrift"/>
        <w:rPr>
          <w:szCs w:val="21"/>
        </w:rPr>
      </w:pPr>
      <w:bookmarkStart w:id="2" w:name="_Toc402443249"/>
      <w:r w:rsidRPr="00D92197"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12</w:t>
      </w:r>
      <w:r>
        <w:fldChar w:fldCharType="end"/>
      </w:r>
      <w:r w:rsidRPr="00D92197">
        <w:t>: Taskbar menu</w:t>
      </w:r>
      <w:bookmarkEnd w:id="2"/>
    </w:p>
    <w:p w:rsidR="000C2573" w:rsidRDefault="000C2573" w:rsidP="000C2573">
      <w:pPr>
        <w:rPr>
          <w:rFonts w:cs="Arial"/>
          <w:sz w:val="21"/>
          <w:szCs w:val="21"/>
          <w:lang w:val="en-US"/>
        </w:rPr>
      </w:pPr>
      <w:r>
        <w:rPr>
          <w:rFonts w:cs="Arial"/>
          <w:sz w:val="21"/>
          <w:szCs w:val="21"/>
          <w:lang w:val="en-US"/>
        </w:rPr>
        <w:lastRenderedPageBreak/>
        <w:t>The following taskbar settings are available:</w:t>
      </w:r>
    </w:p>
    <w:p w:rsidR="000C2573" w:rsidRDefault="000C2573" w:rsidP="000C2573">
      <w:pPr>
        <w:rPr>
          <w:rFonts w:cs="Arial"/>
          <w:sz w:val="21"/>
          <w:szCs w:val="21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9"/>
        <w:gridCol w:w="6333"/>
      </w:tblGrid>
      <w:tr w:rsidR="000C2573" w:rsidRPr="00B1180C" w:rsidTr="00F234A8">
        <w:tc>
          <w:tcPr>
            <w:tcW w:w="2858" w:type="dxa"/>
            <w:shd w:val="clear" w:color="auto" w:fill="0C0C0C"/>
          </w:tcPr>
          <w:p w:rsidR="000C2573" w:rsidRPr="00B1180C" w:rsidRDefault="000C2573" w:rsidP="00F234A8">
            <w:pPr>
              <w:rPr>
                <w:rFonts w:cs="Arial"/>
                <w:b/>
                <w:sz w:val="21"/>
                <w:szCs w:val="21"/>
                <w:lang w:val="en-US"/>
              </w:rPr>
            </w:pPr>
            <w:r w:rsidRPr="00B1180C">
              <w:rPr>
                <w:rFonts w:cs="Arial"/>
                <w:b/>
                <w:sz w:val="21"/>
                <w:szCs w:val="21"/>
                <w:lang w:val="en-US"/>
              </w:rPr>
              <w:t>Setting</w:t>
            </w:r>
          </w:p>
        </w:tc>
        <w:tc>
          <w:tcPr>
            <w:tcW w:w="6712" w:type="dxa"/>
            <w:shd w:val="clear" w:color="auto" w:fill="0C0C0C"/>
          </w:tcPr>
          <w:p w:rsidR="000C2573" w:rsidRPr="00B1180C" w:rsidRDefault="000C2573" w:rsidP="00F234A8">
            <w:pPr>
              <w:rPr>
                <w:rFonts w:cs="Arial"/>
                <w:b/>
                <w:sz w:val="21"/>
                <w:szCs w:val="21"/>
                <w:lang w:val="en-US"/>
              </w:rPr>
            </w:pPr>
            <w:r w:rsidRPr="00B1180C">
              <w:rPr>
                <w:rFonts w:cs="Arial"/>
                <w:b/>
                <w:sz w:val="21"/>
                <w:szCs w:val="21"/>
                <w:lang w:val="en-US"/>
              </w:rPr>
              <w:t>Description</w:t>
            </w:r>
          </w:p>
        </w:tc>
      </w:tr>
      <w:tr w:rsidR="000C2573" w:rsidRPr="000F200F" w:rsidTr="00F234A8">
        <w:tc>
          <w:tcPr>
            <w:tcW w:w="2858" w:type="dxa"/>
          </w:tcPr>
          <w:p w:rsidR="000C2573" w:rsidRPr="00B1180C" w:rsidRDefault="000C2573" w:rsidP="00F234A8">
            <w:pPr>
              <w:rPr>
                <w:rFonts w:cs="Arial"/>
                <w:sz w:val="21"/>
                <w:szCs w:val="21"/>
                <w:lang w:val="en-US"/>
              </w:rPr>
            </w:pPr>
            <w:r w:rsidRPr="00B1180C">
              <w:rPr>
                <w:rFonts w:cs="Arial"/>
                <w:sz w:val="21"/>
                <w:szCs w:val="21"/>
                <w:lang w:val="en-US"/>
              </w:rPr>
              <w:t>Hide the taskbar when there is no viewer activated</w:t>
            </w:r>
          </w:p>
        </w:tc>
        <w:tc>
          <w:tcPr>
            <w:tcW w:w="6712" w:type="dxa"/>
          </w:tcPr>
          <w:p w:rsidR="000C2573" w:rsidRPr="00B1180C" w:rsidRDefault="000C2573" w:rsidP="00F234A8">
            <w:pPr>
              <w:rPr>
                <w:rFonts w:cs="Arial"/>
                <w:sz w:val="21"/>
                <w:szCs w:val="21"/>
                <w:lang w:val="en-US"/>
              </w:rPr>
            </w:pPr>
            <w:r w:rsidRPr="00B1180C">
              <w:rPr>
                <w:rFonts w:cs="Arial"/>
                <w:sz w:val="21"/>
                <w:szCs w:val="21"/>
                <w:lang w:val="en-US"/>
              </w:rPr>
              <w:t>This option allows you to hide the taskbar, in case all viewers are inactive. This function can be disabled, by moving the mouse cursor to the top of the screen.</w:t>
            </w:r>
          </w:p>
        </w:tc>
      </w:tr>
      <w:tr w:rsidR="000C2573" w:rsidRPr="00B1180C" w:rsidTr="00F234A8">
        <w:tc>
          <w:tcPr>
            <w:tcW w:w="2858" w:type="dxa"/>
          </w:tcPr>
          <w:p w:rsidR="000C2573" w:rsidRPr="00B1180C" w:rsidRDefault="000C2573" w:rsidP="00F234A8">
            <w:pPr>
              <w:rPr>
                <w:rFonts w:cs="Arial"/>
                <w:sz w:val="21"/>
                <w:szCs w:val="21"/>
                <w:lang w:val="en-US"/>
              </w:rPr>
            </w:pPr>
            <w:r w:rsidRPr="00B1180C">
              <w:rPr>
                <w:rFonts w:cs="Arial"/>
                <w:sz w:val="21"/>
                <w:szCs w:val="21"/>
                <w:lang w:val="en-US"/>
              </w:rPr>
              <w:t>Show the taskbar when there is an alarm</w:t>
            </w:r>
          </w:p>
        </w:tc>
        <w:tc>
          <w:tcPr>
            <w:tcW w:w="6712" w:type="dxa"/>
          </w:tcPr>
          <w:p w:rsidR="000C2573" w:rsidRPr="00B1180C" w:rsidRDefault="000C2573" w:rsidP="00F234A8">
            <w:pPr>
              <w:rPr>
                <w:rFonts w:cs="Arial"/>
                <w:sz w:val="21"/>
                <w:szCs w:val="21"/>
                <w:lang w:val="en-US"/>
              </w:rPr>
            </w:pPr>
            <w:r w:rsidRPr="00B1180C">
              <w:rPr>
                <w:rFonts w:cs="Arial"/>
                <w:sz w:val="21"/>
                <w:szCs w:val="21"/>
                <w:lang w:val="en-US"/>
              </w:rPr>
              <w:t>This option allows the taskbar to appear whenever an alarm occurs. This overrides the previous setting of the hidden taskbar.</w:t>
            </w:r>
          </w:p>
        </w:tc>
      </w:tr>
      <w:tr w:rsidR="000C2573" w:rsidRPr="000F200F" w:rsidTr="00F234A8">
        <w:tc>
          <w:tcPr>
            <w:tcW w:w="2858" w:type="dxa"/>
          </w:tcPr>
          <w:p w:rsidR="000C2573" w:rsidRPr="00B1180C" w:rsidRDefault="000C2573" w:rsidP="00F234A8">
            <w:pPr>
              <w:rPr>
                <w:rFonts w:cs="Arial"/>
                <w:sz w:val="21"/>
                <w:szCs w:val="21"/>
                <w:lang w:val="en-US"/>
              </w:rPr>
            </w:pPr>
            <w:r w:rsidRPr="00B1180C">
              <w:rPr>
                <w:rFonts w:cs="Arial"/>
                <w:sz w:val="21"/>
                <w:szCs w:val="21"/>
                <w:lang w:val="en-US"/>
              </w:rPr>
              <w:t>Visible</w:t>
            </w:r>
          </w:p>
        </w:tc>
        <w:tc>
          <w:tcPr>
            <w:tcW w:w="6712" w:type="dxa"/>
          </w:tcPr>
          <w:p w:rsidR="000C2573" w:rsidRPr="00B1180C" w:rsidRDefault="000C2573" w:rsidP="00F234A8">
            <w:pPr>
              <w:rPr>
                <w:rFonts w:cs="Arial"/>
                <w:sz w:val="21"/>
                <w:szCs w:val="21"/>
                <w:lang w:val="en-US"/>
              </w:rPr>
            </w:pPr>
            <w:r w:rsidRPr="00B1180C">
              <w:rPr>
                <w:rFonts w:cs="Arial"/>
                <w:sz w:val="21"/>
                <w:szCs w:val="21"/>
                <w:lang w:val="en-US"/>
              </w:rPr>
              <w:t>This option allows you to select the availability of viewers. You can select the viewer that must be displayed and be accessible through the taskbar or not.</w:t>
            </w:r>
          </w:p>
        </w:tc>
      </w:tr>
      <w:tr w:rsidR="000C2573" w:rsidRPr="000F200F" w:rsidTr="00F234A8">
        <w:tc>
          <w:tcPr>
            <w:tcW w:w="2858" w:type="dxa"/>
          </w:tcPr>
          <w:p w:rsidR="000C2573" w:rsidRPr="00B1180C" w:rsidRDefault="000C2573" w:rsidP="00F234A8">
            <w:pPr>
              <w:rPr>
                <w:rFonts w:cs="Arial"/>
                <w:sz w:val="21"/>
                <w:szCs w:val="21"/>
                <w:lang w:val="en-US"/>
              </w:rPr>
            </w:pPr>
            <w:r w:rsidRPr="00B1180C">
              <w:rPr>
                <w:rFonts w:cs="Arial"/>
                <w:sz w:val="21"/>
                <w:szCs w:val="21"/>
                <w:lang w:val="en-US"/>
              </w:rPr>
              <w:t>Autostart</w:t>
            </w:r>
          </w:p>
        </w:tc>
        <w:tc>
          <w:tcPr>
            <w:tcW w:w="6712" w:type="dxa"/>
          </w:tcPr>
          <w:p w:rsidR="000C2573" w:rsidRPr="00B1180C" w:rsidRDefault="000C2573" w:rsidP="00F234A8">
            <w:pPr>
              <w:rPr>
                <w:rFonts w:cs="Arial"/>
                <w:sz w:val="21"/>
                <w:szCs w:val="21"/>
                <w:lang w:val="en-US"/>
              </w:rPr>
            </w:pPr>
            <w:r w:rsidRPr="00B1180C">
              <w:rPr>
                <w:rFonts w:cs="Arial"/>
                <w:sz w:val="21"/>
                <w:szCs w:val="21"/>
                <w:lang w:val="en-US"/>
              </w:rPr>
              <w:t>The second option enables you to determine the viewers that automatically open at startup of the software.</w:t>
            </w:r>
          </w:p>
        </w:tc>
      </w:tr>
      <w:tr w:rsidR="000C2573" w:rsidRPr="000F200F" w:rsidTr="00F234A8">
        <w:tc>
          <w:tcPr>
            <w:tcW w:w="2858" w:type="dxa"/>
          </w:tcPr>
          <w:p w:rsidR="000C2573" w:rsidRPr="00B1180C" w:rsidRDefault="000C2573" w:rsidP="00F234A8">
            <w:pPr>
              <w:rPr>
                <w:rFonts w:cs="Arial"/>
                <w:sz w:val="21"/>
                <w:szCs w:val="21"/>
                <w:lang w:val="en-US"/>
              </w:rPr>
            </w:pPr>
            <w:r>
              <w:rPr>
                <w:rFonts w:cs="Arial"/>
                <w:sz w:val="21"/>
                <w:szCs w:val="21"/>
                <w:lang w:val="en-US"/>
              </w:rPr>
              <w:t>Read Only</w:t>
            </w:r>
          </w:p>
        </w:tc>
        <w:tc>
          <w:tcPr>
            <w:tcW w:w="6712" w:type="dxa"/>
          </w:tcPr>
          <w:p w:rsidR="000C2573" w:rsidRPr="00B1180C" w:rsidRDefault="000C2573" w:rsidP="00F234A8">
            <w:pPr>
              <w:rPr>
                <w:rFonts w:cs="Arial"/>
                <w:sz w:val="21"/>
                <w:szCs w:val="21"/>
                <w:lang w:val="en-US"/>
              </w:rPr>
            </w:pPr>
            <w:r>
              <w:rPr>
                <w:rFonts w:cs="Arial"/>
                <w:sz w:val="21"/>
                <w:szCs w:val="21"/>
                <w:lang w:val="en-US"/>
              </w:rPr>
              <w:t>This option prevents people to alter settings in the viewer or mimic</w:t>
            </w:r>
          </w:p>
        </w:tc>
      </w:tr>
      <w:tr w:rsidR="000C2573" w:rsidRPr="000F200F" w:rsidTr="00F234A8">
        <w:tc>
          <w:tcPr>
            <w:tcW w:w="2858" w:type="dxa"/>
          </w:tcPr>
          <w:p w:rsidR="000C2573" w:rsidRPr="00B1180C" w:rsidRDefault="000C2573" w:rsidP="00F234A8">
            <w:pPr>
              <w:rPr>
                <w:rFonts w:cs="Arial"/>
                <w:sz w:val="21"/>
                <w:szCs w:val="21"/>
                <w:lang w:val="en-US"/>
              </w:rPr>
            </w:pPr>
            <w:r w:rsidRPr="00B1180C">
              <w:rPr>
                <w:rFonts w:cs="Arial"/>
                <w:sz w:val="21"/>
                <w:szCs w:val="21"/>
                <w:lang w:val="en-US"/>
              </w:rPr>
              <w:t>Display</w:t>
            </w:r>
          </w:p>
        </w:tc>
        <w:tc>
          <w:tcPr>
            <w:tcW w:w="6712" w:type="dxa"/>
          </w:tcPr>
          <w:p w:rsidR="000C2573" w:rsidRPr="00B1180C" w:rsidRDefault="000C2573" w:rsidP="00F234A8">
            <w:pPr>
              <w:rPr>
                <w:rFonts w:cs="Arial"/>
                <w:sz w:val="21"/>
                <w:szCs w:val="21"/>
                <w:lang w:val="en-US"/>
              </w:rPr>
            </w:pPr>
            <w:r w:rsidRPr="00B1180C">
              <w:rPr>
                <w:rFonts w:cs="Arial"/>
                <w:sz w:val="21"/>
                <w:szCs w:val="21"/>
                <w:lang w:val="en-US"/>
              </w:rPr>
              <w:t>The display box defines the screen used for each viewer. The number shown symbolizes the displays as shown at the bottom of the screen.</w:t>
            </w:r>
            <w:r>
              <w:rPr>
                <w:rFonts w:cs="Arial"/>
                <w:sz w:val="21"/>
                <w:szCs w:val="21"/>
                <w:lang w:val="en-US"/>
              </w:rPr>
              <w:t xml:space="preserve"> “Auto” means that it will appear at the first free screen. If there is a number, the viewer will appear on that screen. Only available if you have more screens attached.</w:t>
            </w:r>
          </w:p>
        </w:tc>
      </w:tr>
      <w:tr w:rsidR="000C2573" w:rsidRPr="000F200F" w:rsidTr="00F234A8">
        <w:tc>
          <w:tcPr>
            <w:tcW w:w="2858" w:type="dxa"/>
          </w:tcPr>
          <w:p w:rsidR="000C2573" w:rsidRPr="00B1180C" w:rsidRDefault="000C2573" w:rsidP="00F234A8">
            <w:pPr>
              <w:rPr>
                <w:rFonts w:cs="Arial"/>
                <w:sz w:val="21"/>
                <w:szCs w:val="21"/>
                <w:lang w:val="en-US"/>
              </w:rPr>
            </w:pPr>
            <w:r w:rsidRPr="00B1180C">
              <w:rPr>
                <w:rFonts w:cs="Arial"/>
                <w:sz w:val="21"/>
                <w:szCs w:val="21"/>
                <w:lang w:val="en-US"/>
              </w:rPr>
              <w:t>Layout</w:t>
            </w:r>
            <w:r>
              <w:rPr>
                <w:rFonts w:cs="Arial"/>
                <w:sz w:val="21"/>
                <w:szCs w:val="21"/>
                <w:lang w:val="en-US"/>
              </w:rPr>
              <w:fldChar w:fldCharType="begin"/>
            </w:r>
            <w:r>
              <w:rPr>
                <w:rFonts w:cs="Arial"/>
                <w:sz w:val="21"/>
                <w:szCs w:val="21"/>
                <w:lang w:val="en-US"/>
              </w:rPr>
              <w:instrText xml:space="preserve"> XE "</w:instrText>
            </w:r>
            <w:r w:rsidRPr="00CA46A0">
              <w:rPr>
                <w:lang w:val="en-US"/>
              </w:rPr>
              <w:instrText>Latout"</w:instrText>
            </w:r>
            <w:r>
              <w:rPr>
                <w:rFonts w:cs="Arial"/>
                <w:sz w:val="21"/>
                <w:szCs w:val="21"/>
                <w:lang w:val="en-US"/>
              </w:rPr>
              <w:instrText xml:space="preserve"> </w:instrText>
            </w:r>
            <w:r>
              <w:rPr>
                <w:rFonts w:cs="Arial"/>
                <w:sz w:val="21"/>
                <w:szCs w:val="21"/>
                <w:lang w:val="en-US"/>
              </w:rPr>
              <w:fldChar w:fldCharType="end"/>
            </w:r>
            <w:r w:rsidRPr="00B1180C">
              <w:rPr>
                <w:rFonts w:cs="Arial"/>
                <w:sz w:val="21"/>
                <w:szCs w:val="21"/>
                <w:lang w:val="en-US"/>
              </w:rPr>
              <w:t xml:space="preserve"> of the displays on the desktop</w:t>
            </w:r>
          </w:p>
        </w:tc>
        <w:tc>
          <w:tcPr>
            <w:tcW w:w="6712" w:type="dxa"/>
          </w:tcPr>
          <w:p w:rsidR="000C2573" w:rsidRPr="00B1180C" w:rsidRDefault="000C2573" w:rsidP="00F234A8">
            <w:pPr>
              <w:rPr>
                <w:rFonts w:cs="Arial"/>
                <w:sz w:val="21"/>
                <w:szCs w:val="21"/>
                <w:lang w:val="en-US"/>
              </w:rPr>
            </w:pPr>
            <w:r w:rsidRPr="00B1180C">
              <w:rPr>
                <w:rFonts w:cs="Arial"/>
                <w:sz w:val="21"/>
                <w:szCs w:val="21"/>
                <w:lang w:val="en-US"/>
              </w:rPr>
              <w:t>This setting allows you to show the placement of the different screens connected to your system. The display order, size and the number available for display of viewers are shown.</w:t>
            </w:r>
          </w:p>
        </w:tc>
      </w:tr>
    </w:tbl>
    <w:p w:rsidR="000C2573" w:rsidRDefault="000C2573" w:rsidP="000C2573">
      <w:pPr>
        <w:pStyle w:val="Heading4"/>
        <w:numPr>
          <w:ilvl w:val="0"/>
          <w:numId w:val="0"/>
        </w:numPr>
      </w:pPr>
    </w:p>
    <w:p w:rsidR="000C2573" w:rsidRPr="006C3F26" w:rsidRDefault="000C2573" w:rsidP="000C2573">
      <w:pPr>
        <w:rPr>
          <w:i/>
        </w:rPr>
      </w:pPr>
      <w:r>
        <w:rPr>
          <w:noProof/>
          <w:lang w:val="nl-NL" w:eastAsia="nl-NL"/>
        </w:rPr>
        <w:drawing>
          <wp:inline distT="0" distB="0" distL="0" distR="0" wp14:anchorId="4B21E621" wp14:editId="6E867001">
            <wp:extent cx="416379" cy="342900"/>
            <wp:effectExtent l="0" t="0" r="3175" b="0"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79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>: As of release 3522 it is possible to hide the “close” button to make sure people do not shutdown the program accidently. Just uncheck the checkmark box for the close button</w:t>
      </w:r>
    </w:p>
    <w:p w:rsidR="001D66BB" w:rsidRPr="000C2573" w:rsidRDefault="001D66BB" w:rsidP="000C2573">
      <w:bookmarkStart w:id="3" w:name="_GoBack"/>
      <w:bookmarkEnd w:id="3"/>
    </w:p>
    <w:sectPr w:rsidR="001D66BB" w:rsidRPr="000C25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6569" w:rsidRDefault="00C26569" w:rsidP="00FC531B">
      <w:r>
        <w:separator/>
      </w:r>
    </w:p>
  </w:endnote>
  <w:endnote w:type="continuationSeparator" w:id="0">
    <w:p w:rsidR="00C26569" w:rsidRDefault="00C26569" w:rsidP="00FC5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6569" w:rsidRDefault="00C26569" w:rsidP="00FC531B">
      <w:r>
        <w:separator/>
      </w:r>
    </w:p>
  </w:footnote>
  <w:footnote w:type="continuationSeparator" w:id="0">
    <w:p w:rsidR="00C26569" w:rsidRDefault="00C26569" w:rsidP="00FC53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008EAE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lang w:val="en-GB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20A"/>
    <w:rsid w:val="000800BE"/>
    <w:rsid w:val="000C2573"/>
    <w:rsid w:val="001D66BB"/>
    <w:rsid w:val="001F1E02"/>
    <w:rsid w:val="002C4A81"/>
    <w:rsid w:val="003D677A"/>
    <w:rsid w:val="004F620A"/>
    <w:rsid w:val="0075142F"/>
    <w:rsid w:val="00B7494B"/>
    <w:rsid w:val="00B96C53"/>
    <w:rsid w:val="00C26569"/>
    <w:rsid w:val="00C63B38"/>
    <w:rsid w:val="00C80A19"/>
    <w:rsid w:val="00D33DAB"/>
    <w:rsid w:val="00E36A87"/>
    <w:rsid w:val="00FC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14B18A-8D5B-4252-BE50-EED3FF0E4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20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Cs w:val="20"/>
      <w:lang w:val="en-GB"/>
    </w:rPr>
  </w:style>
  <w:style w:type="paragraph" w:styleId="Heading1">
    <w:name w:val="heading 1"/>
    <w:aliases w:val="Hoofdstuk,Module"/>
    <w:basedOn w:val="Normal"/>
    <w:next w:val="Heading2"/>
    <w:link w:val="Heading1Char"/>
    <w:qFormat/>
    <w:rsid w:val="004F620A"/>
    <w:pPr>
      <w:keepNext/>
      <w:numPr>
        <w:numId w:val="1"/>
      </w:numPr>
      <w:spacing w:before="240" w:after="120" w:line="480" w:lineRule="atLeast"/>
      <w:outlineLvl w:val="0"/>
    </w:pPr>
    <w:rPr>
      <w:rFonts w:eastAsiaTheme="majorEastAsia" w:cstheme="majorBidi"/>
      <w:b/>
      <w:sz w:val="32"/>
    </w:rPr>
  </w:style>
  <w:style w:type="paragraph" w:styleId="Heading2">
    <w:name w:val="heading 2"/>
    <w:aliases w:val="2,Para level 2,h2,heading 2,Level 2,hd2,w2,sub-sect,Titre 2,l2,l 2,two,Memo 2,21,22,23,24,211,221,231,Sub,Module + Onder: (Enkel,Auto,0,75 pt Lijndikte),Hoofdstuk Char,Module + ...,Module + Onder: (Enkel1,Auto1,01,75 pt Lijndikte)1,Alinea"/>
    <w:basedOn w:val="Normal"/>
    <w:next w:val="Normal"/>
    <w:link w:val="Heading2Char"/>
    <w:qFormat/>
    <w:rsid w:val="004F620A"/>
    <w:pPr>
      <w:keepNext/>
      <w:numPr>
        <w:ilvl w:val="1"/>
        <w:numId w:val="1"/>
      </w:numPr>
      <w:spacing w:before="240"/>
      <w:outlineLvl w:val="1"/>
    </w:pPr>
    <w:rPr>
      <w:rFonts w:eastAsiaTheme="majorEastAsia" w:cstheme="majorBidi"/>
      <w:b/>
      <w:sz w:val="24"/>
    </w:rPr>
  </w:style>
  <w:style w:type="paragraph" w:styleId="Heading3">
    <w:name w:val="heading 3"/>
    <w:aliases w:val="Paragraaf,paragraaf"/>
    <w:basedOn w:val="Heading2"/>
    <w:next w:val="Normal"/>
    <w:link w:val="Heading3Char"/>
    <w:qFormat/>
    <w:rsid w:val="004F620A"/>
    <w:pPr>
      <w:numPr>
        <w:ilvl w:val="2"/>
      </w:numPr>
      <w:outlineLvl w:val="2"/>
    </w:pPr>
    <w:rPr>
      <w:sz w:val="22"/>
    </w:rPr>
  </w:style>
  <w:style w:type="paragraph" w:styleId="Heading4">
    <w:name w:val="heading 4"/>
    <w:aliases w:val="Sectie"/>
    <w:basedOn w:val="Heading2"/>
    <w:next w:val="Normal"/>
    <w:link w:val="Heading4Char"/>
    <w:qFormat/>
    <w:rsid w:val="004F620A"/>
    <w:pPr>
      <w:numPr>
        <w:ilvl w:val="3"/>
      </w:numPr>
      <w:outlineLvl w:val="3"/>
    </w:pPr>
  </w:style>
  <w:style w:type="paragraph" w:styleId="Heading5">
    <w:name w:val="heading 5"/>
    <w:aliases w:val="Onderdeel"/>
    <w:basedOn w:val="Heading2"/>
    <w:next w:val="Normal"/>
    <w:link w:val="Heading5Char"/>
    <w:qFormat/>
    <w:rsid w:val="004F620A"/>
    <w:pPr>
      <w:numPr>
        <w:ilvl w:val="4"/>
      </w:numPr>
      <w:outlineLvl w:val="4"/>
    </w:pPr>
  </w:style>
  <w:style w:type="paragraph" w:styleId="Heading6">
    <w:name w:val="heading 6"/>
    <w:basedOn w:val="Heading2"/>
    <w:next w:val="Normal"/>
    <w:link w:val="Heading6Char"/>
    <w:qFormat/>
    <w:rsid w:val="004F620A"/>
    <w:pPr>
      <w:numPr>
        <w:ilvl w:val="5"/>
      </w:numPr>
      <w:outlineLvl w:val="5"/>
    </w:pPr>
  </w:style>
  <w:style w:type="paragraph" w:styleId="Heading7">
    <w:name w:val="heading 7"/>
    <w:aliases w:val="7,Para level 7,h7,heading 7,71,Para level 71,h71,heading 71,72,Para level 72,h72,heading 72,73,Para level 73,h73,heading 73,74,Para level 74,h74,heading 74,75,Para level 75,h75,heading 75,76,Para level 76,h76,heading 76,77,Para level 77,h77,78"/>
    <w:basedOn w:val="Heading2"/>
    <w:next w:val="Normal"/>
    <w:link w:val="Heading7Char"/>
    <w:qFormat/>
    <w:rsid w:val="004F620A"/>
    <w:pPr>
      <w:numPr>
        <w:ilvl w:val="6"/>
      </w:numPr>
      <w:outlineLvl w:val="6"/>
    </w:pPr>
  </w:style>
  <w:style w:type="paragraph" w:styleId="Heading8">
    <w:name w:val="heading 8"/>
    <w:aliases w:val="8,h8,heading 8,81,h81,heading 81,82,h82,heading 82,83,h83,heading 83,84,h84,heading 84,85,h85,heading 85,86,h86,heading 86,87,h87,heading 87,88,h88,heading 88,811,h811,heading 811,821,h821,heading 821,831,h831,heading 831,841,h841,heading 841"/>
    <w:basedOn w:val="Heading2"/>
    <w:next w:val="Normal"/>
    <w:link w:val="Heading8Char"/>
    <w:qFormat/>
    <w:rsid w:val="004F620A"/>
    <w:pPr>
      <w:numPr>
        <w:ilvl w:val="7"/>
      </w:numPr>
      <w:ind w:left="5760" w:hanging="360"/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F620A"/>
    <w:rPr>
      <w:rFonts w:ascii="Arial" w:eastAsiaTheme="majorEastAsia" w:hAnsi="Arial" w:cstheme="majorBidi"/>
      <w:b/>
      <w:sz w:val="32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4F620A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3Char">
    <w:name w:val="Heading 3 Char"/>
    <w:aliases w:val="Paragraaf Char1,paragraaf Char"/>
    <w:basedOn w:val="DefaultParagraphFont"/>
    <w:link w:val="Heading3"/>
    <w:rsid w:val="004F620A"/>
    <w:rPr>
      <w:rFonts w:ascii="Arial" w:eastAsiaTheme="majorEastAsia" w:hAnsi="Arial" w:cstheme="majorBidi"/>
      <w:b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4F620A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4F620A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4F620A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4F620A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4F620A"/>
    <w:rPr>
      <w:rFonts w:ascii="Arial" w:eastAsiaTheme="majorEastAsia" w:hAnsi="Arial" w:cstheme="majorBidi"/>
      <w:b/>
      <w:sz w:val="24"/>
      <w:szCs w:val="20"/>
      <w:lang w:val="en-GB"/>
    </w:rPr>
  </w:style>
  <w:style w:type="paragraph" w:customStyle="1" w:styleId="Onderschrift">
    <w:name w:val="Onderschrift"/>
    <w:basedOn w:val="Caption"/>
    <w:autoRedefine/>
    <w:qFormat/>
    <w:rsid w:val="004F620A"/>
    <w:pPr>
      <w:spacing w:before="120" w:after="240"/>
    </w:pPr>
    <w:rPr>
      <w:rFonts w:cs="Arial"/>
      <w:b/>
      <w:i w:val="0"/>
      <w:iCs w:val="0"/>
      <w:color w:val="auto"/>
      <w:szCs w:val="22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620A"/>
    <w:pPr>
      <w:spacing w:after="200"/>
    </w:pPr>
    <w:rPr>
      <w:i/>
      <w:iCs/>
      <w:color w:val="44546A" w:themeColor="text2"/>
      <w:sz w:val="18"/>
      <w:szCs w:val="18"/>
    </w:rPr>
  </w:style>
  <w:style w:type="character" w:styleId="FootnoteReference">
    <w:name w:val="footnote reference"/>
    <w:semiHidden/>
    <w:rsid w:val="00FC531B"/>
    <w:rPr>
      <w:position w:val="6"/>
      <w:sz w:val="16"/>
    </w:rPr>
  </w:style>
  <w:style w:type="paragraph" w:styleId="FootnoteText">
    <w:name w:val="footnote text"/>
    <w:basedOn w:val="Normal"/>
    <w:link w:val="FootnoteTextChar"/>
    <w:semiHidden/>
    <w:rsid w:val="00FC531B"/>
  </w:style>
  <w:style w:type="character" w:customStyle="1" w:styleId="FootnoteTextChar">
    <w:name w:val="Footnote Text Char"/>
    <w:basedOn w:val="DefaultParagraphFont"/>
    <w:link w:val="FootnoteText"/>
    <w:semiHidden/>
    <w:rsid w:val="00FC531B"/>
    <w:rPr>
      <w:rFonts w:ascii="Arial" w:eastAsia="Times New Roman" w:hAnsi="Arial" w:cs="Times New Roman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VCMM Kerckhaert</dc:creator>
  <cp:keywords/>
  <dc:description/>
  <cp:lastModifiedBy>VCMM Kerckhaert</cp:lastModifiedBy>
  <cp:revision>2</cp:revision>
  <dcterms:created xsi:type="dcterms:W3CDTF">2014-11-21T12:46:00Z</dcterms:created>
  <dcterms:modified xsi:type="dcterms:W3CDTF">2014-11-21T12:46:00Z</dcterms:modified>
</cp:coreProperties>
</file>