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79" w:rsidRDefault="00E24179" w:rsidP="00E24179">
      <w:pPr>
        <w:pStyle w:val="Heading3"/>
      </w:pPr>
      <w:bookmarkStart w:id="0" w:name="_Toc400106169"/>
      <w:r>
        <w:t>Alarm Mimic</w:t>
      </w:r>
      <w:bookmarkEnd w:id="0"/>
    </w:p>
    <w:p w:rsidR="00E24179" w:rsidRDefault="00E24179" w:rsidP="00E24179"/>
    <w:p w:rsidR="00E24179" w:rsidRDefault="00E24179" w:rsidP="00E24179">
      <w:r>
        <w:t xml:space="preserve">The </w:t>
      </w:r>
      <w:r w:rsidRPr="00EB68BC">
        <w:rPr>
          <w:i/>
        </w:rPr>
        <w:t>alarm mimic</w:t>
      </w:r>
      <w:r>
        <w:t xml:space="preserve"> is the central place where all relevant alarms are shown in clear and unambiguous language and </w:t>
      </w:r>
      <w:proofErr w:type="spellStart"/>
      <w:r>
        <w:t>coloring</w:t>
      </w:r>
      <w:proofErr w:type="spellEnd"/>
      <w:r>
        <w:t xml:space="preserve">. The smaller </w:t>
      </w:r>
      <w:r w:rsidRPr="00EB68BC">
        <w:rPr>
          <w:i/>
        </w:rPr>
        <w:t>Alarm area</w:t>
      </w:r>
      <w:r>
        <w:t xml:space="preserve"> in the taskbar will always be available and visible. Here, each alarm will be shown immediately. When you click the area, the larger Alarm mimic is shown (see </w:t>
      </w:r>
      <w:r>
        <w:fldChar w:fldCharType="begin"/>
      </w:r>
      <w:r>
        <w:instrText xml:space="preserve"> REF _Ref399339064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25</w:t>
      </w:r>
      <w:r>
        <w:fldChar w:fldCharType="end"/>
      </w:r>
      <w:r>
        <w:t xml:space="preserve">). </w:t>
      </w:r>
    </w:p>
    <w:p w:rsidR="00E24179" w:rsidRDefault="00E24179" w:rsidP="00E24179"/>
    <w:p w:rsidR="00E24179" w:rsidRPr="006E34EC" w:rsidRDefault="00E24179" w:rsidP="00E24179">
      <w:pPr>
        <w:rPr>
          <w:i/>
        </w:rPr>
      </w:pPr>
      <w:r>
        <w:rPr>
          <w:i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48E0961C" wp14:editId="6AEB854A">
            <wp:simplePos x="0" y="0"/>
            <wp:positionH relativeFrom="column">
              <wp:posOffset>18415</wp:posOffset>
            </wp:positionH>
            <wp:positionV relativeFrom="paragraph">
              <wp:posOffset>2540</wp:posOffset>
            </wp:positionV>
            <wp:extent cx="454025" cy="449580"/>
            <wp:effectExtent l="19050" t="0" r="3175" b="0"/>
            <wp:wrapSquare wrapText="bothSides"/>
            <wp:docPr id="119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The Alarm </w:t>
      </w:r>
      <w:r w:rsidRPr="006E34EC">
        <w:rPr>
          <w:i/>
        </w:rPr>
        <w:t xml:space="preserve">mimic will always be on top of all the other windows, so if you want to look at other mimics, you will need to close the alarm mimic first. </w:t>
      </w:r>
    </w:p>
    <w:p w:rsidR="00E24179" w:rsidRDefault="00E24179" w:rsidP="00E24179"/>
    <w:p w:rsidR="00E24179" w:rsidRDefault="00E24179" w:rsidP="00E24179"/>
    <w:p w:rsidR="00E24179" w:rsidRDefault="00E24179" w:rsidP="00E24179">
      <w:r>
        <w:rPr>
          <w:noProof/>
          <w:lang w:val="nl-NL" w:eastAsia="nl-NL"/>
        </w:rPr>
        <w:drawing>
          <wp:inline distT="0" distB="0" distL="0" distR="0" wp14:anchorId="68654EE8" wp14:editId="11911132">
            <wp:extent cx="5760720" cy="3588354"/>
            <wp:effectExtent l="0" t="0" r="0" b="0"/>
            <wp:docPr id="121" name="Afbeelding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79" w:rsidRDefault="00E24179" w:rsidP="00E24179">
      <w:pPr>
        <w:pStyle w:val="Onderschrift"/>
      </w:pPr>
      <w:bookmarkStart w:id="1" w:name="_Ref399339064"/>
      <w:bookmarkStart w:id="2" w:name="_Toc40010622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25</w:t>
      </w:r>
      <w:r>
        <w:fldChar w:fldCharType="end"/>
      </w:r>
      <w:bookmarkEnd w:id="1"/>
      <w:r>
        <w:t>: Alarm mimic</w:t>
      </w:r>
      <w:bookmarkEnd w:id="2"/>
    </w:p>
    <w:p w:rsidR="00E24179" w:rsidRDefault="00E24179" w:rsidP="00E24179">
      <w:r>
        <w:t xml:space="preserve">Depending on which rights your station has, more or less buttons and/or alarm-information are shown. </w:t>
      </w:r>
    </w:p>
    <w:p w:rsidR="00E24179" w:rsidRDefault="00E24179" w:rsidP="00E24179"/>
    <w:p w:rsidR="00E24179" w:rsidRDefault="00E24179" w:rsidP="00E24179">
      <w:r>
        <w:t>The order will always be as follows:</w:t>
      </w:r>
    </w:p>
    <w:p w:rsidR="00E24179" w:rsidRDefault="00E24179" w:rsidP="00E24179"/>
    <w:p w:rsidR="00E24179" w:rsidRDefault="00E24179" w:rsidP="00E24179">
      <w:pPr>
        <w:pStyle w:val="ListParagraph"/>
        <w:numPr>
          <w:ilvl w:val="0"/>
          <w:numId w:val="4"/>
        </w:numPr>
      </w:pPr>
      <w:r>
        <w:t>Critical alarms</w:t>
      </w:r>
    </w:p>
    <w:p w:rsidR="00E24179" w:rsidRDefault="00E24179" w:rsidP="00E24179">
      <w:pPr>
        <w:pStyle w:val="ListParagraph"/>
        <w:numPr>
          <w:ilvl w:val="0"/>
          <w:numId w:val="4"/>
        </w:numPr>
      </w:pPr>
      <w:r>
        <w:t>Warnings</w:t>
      </w:r>
    </w:p>
    <w:p w:rsidR="00E24179" w:rsidRDefault="00E24179" w:rsidP="00E24179">
      <w:pPr>
        <w:pStyle w:val="ListParagraph"/>
        <w:numPr>
          <w:ilvl w:val="0"/>
          <w:numId w:val="4"/>
        </w:numPr>
      </w:pPr>
      <w:r>
        <w:t>Cautions</w:t>
      </w:r>
    </w:p>
    <w:p w:rsidR="00E24179" w:rsidRDefault="00E24179" w:rsidP="00E24179">
      <w:pPr>
        <w:pStyle w:val="ListParagraph"/>
        <w:numPr>
          <w:ilvl w:val="0"/>
          <w:numId w:val="4"/>
        </w:numPr>
      </w:pPr>
      <w:r>
        <w:t>Time of appearance</w:t>
      </w:r>
    </w:p>
    <w:p w:rsidR="00E24179" w:rsidRDefault="00E24179" w:rsidP="00E24179"/>
    <w:p w:rsidR="00E24179" w:rsidRDefault="00E24179" w:rsidP="00E24179">
      <w:r>
        <w:t xml:space="preserve">So the latest </w:t>
      </w:r>
      <w:r w:rsidRPr="00EB68BC">
        <w:rPr>
          <w:i/>
        </w:rPr>
        <w:t>critical alarm</w:t>
      </w:r>
      <w:r>
        <w:t xml:space="preserve"> will always be on top. The latest </w:t>
      </w:r>
      <w:r w:rsidRPr="00EB68BC">
        <w:rPr>
          <w:i/>
        </w:rPr>
        <w:t>warning</w:t>
      </w:r>
      <w:r>
        <w:t xml:space="preserve"> will always be on top, after all </w:t>
      </w:r>
      <w:r w:rsidRPr="00EB68BC">
        <w:rPr>
          <w:i/>
        </w:rPr>
        <w:t>critical alarms</w:t>
      </w:r>
      <w:r>
        <w:rPr>
          <w:i/>
        </w:rPr>
        <w:t>.</w:t>
      </w:r>
      <w:r>
        <w:t xml:space="preserve"> Similarly, the latest </w:t>
      </w:r>
      <w:r w:rsidRPr="00EB68BC">
        <w:rPr>
          <w:i/>
        </w:rPr>
        <w:t>caution</w:t>
      </w:r>
      <w:r>
        <w:t xml:space="preserve"> will always be on top after all </w:t>
      </w:r>
      <w:r w:rsidRPr="00EB68BC">
        <w:rPr>
          <w:i/>
        </w:rPr>
        <w:t>critical alarms</w:t>
      </w:r>
      <w:r>
        <w:t xml:space="preserve"> and/or </w:t>
      </w:r>
      <w:r w:rsidRPr="00EB68BC">
        <w:rPr>
          <w:i/>
        </w:rPr>
        <w:t>warnings</w:t>
      </w:r>
      <w:r>
        <w:t>.</w:t>
      </w:r>
    </w:p>
    <w:p w:rsidR="00E24179" w:rsidRDefault="00E24179" w:rsidP="00E24179"/>
    <w:p w:rsidR="00E24179" w:rsidRDefault="00E24179" w:rsidP="00E24179"/>
    <w:p w:rsidR="00E24179" w:rsidRDefault="00E24179" w:rsidP="00E24179">
      <w:pPr>
        <w:pStyle w:val="Heading4"/>
      </w:pPr>
      <w:bookmarkStart w:id="3" w:name="_Toc400106170"/>
      <w:r>
        <w:t>Alarm icons</w:t>
      </w:r>
      <w:bookmarkEnd w:id="3"/>
    </w:p>
    <w:p w:rsidR="00E24179" w:rsidRDefault="00E24179" w:rsidP="00E24179"/>
    <w:p w:rsidR="00E24179" w:rsidRDefault="00E24179" w:rsidP="00E24179">
      <w:r>
        <w:lastRenderedPageBreak/>
        <w:t>The alarm icons have distinctive colors and symbols, so you can see exactly what is going on with each alarm. A brief explanation of each icon is shown in the following table.</w:t>
      </w:r>
    </w:p>
    <w:p w:rsidR="00E24179" w:rsidRDefault="00E24179" w:rsidP="00E24179"/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1954"/>
        <w:gridCol w:w="6990"/>
      </w:tblGrid>
      <w:tr w:rsidR="00E24179" w:rsidRPr="00A00367" w:rsidTr="00AB2C9D">
        <w:tc>
          <w:tcPr>
            <w:tcW w:w="1985" w:type="dxa"/>
            <w:shd w:val="clear" w:color="auto" w:fill="333333"/>
          </w:tcPr>
          <w:p w:rsidR="00E24179" w:rsidRPr="00A00367" w:rsidRDefault="00E24179" w:rsidP="00AB2C9D">
            <w:pPr>
              <w:rPr>
                <w:b/>
              </w:rPr>
            </w:pPr>
            <w:r>
              <w:rPr>
                <w:b/>
              </w:rPr>
              <w:t>Icon</w:t>
            </w:r>
          </w:p>
        </w:tc>
        <w:tc>
          <w:tcPr>
            <w:tcW w:w="7195" w:type="dxa"/>
            <w:shd w:val="clear" w:color="auto" w:fill="333333"/>
          </w:tcPr>
          <w:p w:rsidR="00E24179" w:rsidRPr="00A00367" w:rsidRDefault="00E24179" w:rsidP="00AB2C9D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24179" w:rsidRPr="000F200F" w:rsidTr="00AB2C9D">
        <w:tc>
          <w:tcPr>
            <w:tcW w:w="1985" w:type="dxa"/>
            <w:shd w:val="clear" w:color="auto" w:fill="auto"/>
            <w:vAlign w:val="center"/>
          </w:tcPr>
          <w:p w:rsidR="00E24179" w:rsidRPr="002C5A3C" w:rsidRDefault="00E24179" w:rsidP="00AB2C9D">
            <w:pPr>
              <w:jc w:val="center"/>
            </w:pPr>
            <w:bookmarkStart w:id="4" w:name="_Hlk399400621"/>
            <w:r>
              <w:rPr>
                <w:noProof/>
                <w:lang w:val="nl-NL" w:eastAsia="nl-NL"/>
              </w:rPr>
              <w:drawing>
                <wp:inline distT="0" distB="0" distL="0" distR="0" wp14:anchorId="054D68C2" wp14:editId="05B899CB">
                  <wp:extent cx="609600" cy="533400"/>
                  <wp:effectExtent l="0" t="0" r="0" b="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unac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bookmarkStart w:id="5" w:name="OLE_LINK1"/>
            <w:bookmarkStart w:id="6" w:name="OLE_LINK2"/>
            <w:bookmarkStart w:id="7" w:name="OLE_LINK3"/>
            <w:bookmarkStart w:id="8" w:name="OLE_LINK4"/>
            <w:bookmarkStart w:id="9" w:name="OLE_LINK5"/>
            <w:bookmarkStart w:id="10" w:name="OLE_LINK6"/>
            <w:r>
              <w:rPr>
                <w:lang w:val="en-US"/>
              </w:rPr>
              <w:t xml:space="preserve">Critical alarm: 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lang w:val="en-US"/>
              </w:rPr>
              <w:t xml:space="preserve">Unacknowledged </w:t>
            </w:r>
          </w:p>
        </w:tc>
      </w:tr>
      <w:tr w:rsidR="00E24179" w:rsidRPr="000F200F" w:rsidTr="00AB2C9D">
        <w:tc>
          <w:tcPr>
            <w:tcW w:w="1985" w:type="dxa"/>
            <w:shd w:val="clear" w:color="auto" w:fill="auto"/>
            <w:vAlign w:val="center"/>
          </w:tcPr>
          <w:p w:rsidR="00E24179" w:rsidRPr="002C5A3C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5F0C6E2" wp14:editId="510A802D">
                  <wp:extent cx="609600" cy="533400"/>
                  <wp:effectExtent l="0" t="0" r="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silenc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Critical alarm: Silenced</w:t>
            </w:r>
          </w:p>
        </w:tc>
      </w:tr>
      <w:tr w:rsidR="00E24179" w:rsidRPr="000F200F" w:rsidTr="00AB2C9D">
        <w:tc>
          <w:tcPr>
            <w:tcW w:w="1985" w:type="dxa"/>
            <w:shd w:val="clear" w:color="auto" w:fill="auto"/>
            <w:vAlign w:val="center"/>
          </w:tcPr>
          <w:p w:rsidR="00E24179" w:rsidRPr="002C5A3C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AE42168" wp14:editId="3CE24B34">
                  <wp:extent cx="609600" cy="533400"/>
                  <wp:effectExtent l="0" t="0" r="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ack_not_allow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Critical alarm: Acknowledge not allowed</w:t>
            </w:r>
          </w:p>
        </w:tc>
      </w:tr>
      <w:tr w:rsidR="00E24179" w:rsidRPr="000F200F" w:rsidTr="00AB2C9D">
        <w:tc>
          <w:tcPr>
            <w:tcW w:w="1985" w:type="dxa"/>
            <w:shd w:val="clear" w:color="auto" w:fill="auto"/>
            <w:vAlign w:val="center"/>
          </w:tcPr>
          <w:p w:rsidR="00E24179" w:rsidRPr="002C5A3C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06BDB1D" wp14:editId="54C1BD7A">
                  <wp:extent cx="609600" cy="533400"/>
                  <wp:effectExtent l="0" t="0" r="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ac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Critical alarm: Acknowledged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Pr="002C5A3C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278ED846" wp14:editId="2E0BBEF0">
                  <wp:extent cx="609600" cy="533400"/>
                  <wp:effectExtent l="0" t="0" r="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rectifi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Critical alarm: Rectified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3A8B7EF" wp14:editId="4AA50EE2">
                  <wp:extent cx="609600" cy="533400"/>
                  <wp:effectExtent l="0" t="0" r="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_transferr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Critical alarm: Transferred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bookmarkStart w:id="11" w:name="_Hlk399400665"/>
            <w:bookmarkEnd w:id="4"/>
            <w:r>
              <w:rPr>
                <w:noProof/>
                <w:lang w:val="nl-NL" w:eastAsia="nl-NL"/>
              </w:rPr>
              <w:drawing>
                <wp:inline distT="0" distB="0" distL="0" distR="0" wp14:anchorId="3938E3BF" wp14:editId="5685E296">
                  <wp:extent cx="609600" cy="609600"/>
                  <wp:effectExtent l="0" t="0" r="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unac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 xml:space="preserve">Warning: Unacknowledged 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69528A47" wp14:editId="1E8FB451">
                  <wp:extent cx="609600" cy="609600"/>
                  <wp:effectExtent l="0" t="0" r="0" b="0"/>
                  <wp:docPr id="177" name="Afbeelding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silence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bookmarkStart w:id="12" w:name="OLE_LINK9"/>
            <w:bookmarkStart w:id="13" w:name="OLE_LINK10"/>
            <w:bookmarkStart w:id="14" w:name="OLE_LINK11"/>
            <w:bookmarkStart w:id="15" w:name="OLE_LINK12"/>
            <w:bookmarkStart w:id="16" w:name="OLE_LINK13"/>
            <w:r>
              <w:rPr>
                <w:lang w:val="en-US"/>
              </w:rPr>
              <w:t>Warning</w:t>
            </w:r>
            <w:bookmarkEnd w:id="12"/>
            <w:bookmarkEnd w:id="13"/>
            <w:bookmarkEnd w:id="14"/>
            <w:bookmarkEnd w:id="15"/>
            <w:bookmarkEnd w:id="16"/>
            <w:r>
              <w:rPr>
                <w:lang w:val="en-US"/>
              </w:rPr>
              <w:t>: Silenced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0A0537D5" wp14:editId="053BA6E5">
                  <wp:extent cx="609600" cy="609600"/>
                  <wp:effectExtent l="0" t="0" r="0" b="0"/>
                  <wp:docPr id="178" name="Afbeelding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ack_not_allowe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Warning: Acknowledge not allowed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C7E61BA" wp14:editId="777801CC">
                  <wp:extent cx="609600" cy="609600"/>
                  <wp:effectExtent l="0" t="0" r="0" b="0"/>
                  <wp:docPr id="180" name="Afbeelding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ack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Warning: Acknowledged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1E9D828" wp14:editId="131669D9">
                  <wp:extent cx="609600" cy="609600"/>
                  <wp:effectExtent l="0" t="0" r="0" b="0"/>
                  <wp:docPr id="185" name="Afbeelding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rectified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Warning: Rectified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DE77236" wp14:editId="13156D4B">
                  <wp:extent cx="609600" cy="609600"/>
                  <wp:effectExtent l="0" t="0" r="0" b="0"/>
                  <wp:docPr id="188" name="Afbeelding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transfer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Warning: Transferred</w:t>
            </w:r>
          </w:p>
        </w:tc>
      </w:tr>
      <w:bookmarkEnd w:id="11"/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380E8A66" wp14:editId="20E02EB8">
                  <wp:extent cx="609600" cy="609600"/>
                  <wp:effectExtent l="0" t="0" r="0" b="0"/>
                  <wp:docPr id="198" name="Afbeelding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unack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bookmarkStart w:id="17" w:name="OLE_LINK16"/>
            <w:bookmarkStart w:id="18" w:name="OLE_LINK17"/>
            <w:bookmarkStart w:id="19" w:name="OLE_LINK18"/>
            <w:bookmarkStart w:id="20" w:name="OLE_LINK19"/>
            <w:r>
              <w:rPr>
                <w:lang w:val="en-US"/>
              </w:rPr>
              <w:t>Caution</w:t>
            </w:r>
            <w:bookmarkEnd w:id="17"/>
            <w:bookmarkEnd w:id="18"/>
            <w:bookmarkEnd w:id="19"/>
            <w:bookmarkEnd w:id="20"/>
            <w:r>
              <w:rPr>
                <w:lang w:val="en-US"/>
              </w:rPr>
              <w:t xml:space="preserve">: Unacknowledged 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lastRenderedPageBreak/>
              <w:drawing>
                <wp:inline distT="0" distB="0" distL="0" distR="0" wp14:anchorId="536CFD25" wp14:editId="1738460B">
                  <wp:extent cx="609600" cy="609600"/>
                  <wp:effectExtent l="0" t="0" r="0" b="0"/>
                  <wp:docPr id="209" name="Afbeelding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silence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Caution: Silenced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64E3C00D" wp14:editId="104BAB6F">
                  <wp:extent cx="609600" cy="609600"/>
                  <wp:effectExtent l="0" t="0" r="0" b="0"/>
                  <wp:docPr id="210" name="Afbeelding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ack_not_allowe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Caution: Acknowledge not allowed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41FC8CB4" wp14:editId="10AEA4E5">
                  <wp:extent cx="609600" cy="609600"/>
                  <wp:effectExtent l="0" t="0" r="0" b="0"/>
                  <wp:docPr id="211" name="Afbeelding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ac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CA0364" w:rsidRDefault="00E24179" w:rsidP="00AB2C9D">
            <w:pPr>
              <w:rPr>
                <w:lang w:val="en-US"/>
              </w:rPr>
            </w:pPr>
            <w:r>
              <w:rPr>
                <w:lang w:val="en-US"/>
              </w:rPr>
              <w:t>Caution: Acknowledged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6F88DF5" wp14:editId="586A9C49">
                  <wp:extent cx="609600" cy="609600"/>
                  <wp:effectExtent l="0" t="0" r="0" b="0"/>
                  <wp:docPr id="212" name="Afbeelding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rectified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Caution: Rectified</w:t>
            </w:r>
          </w:p>
        </w:tc>
      </w:tr>
      <w:tr w:rsidR="00E24179" w:rsidRPr="002C5A3C" w:rsidTr="00AB2C9D">
        <w:tc>
          <w:tcPr>
            <w:tcW w:w="1985" w:type="dxa"/>
            <w:shd w:val="clear" w:color="auto" w:fill="auto"/>
            <w:vAlign w:val="center"/>
          </w:tcPr>
          <w:p w:rsidR="00E24179" w:rsidRDefault="00E24179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0CFA83C6" wp14:editId="019E01F3">
                  <wp:extent cx="609600" cy="609600"/>
                  <wp:effectExtent l="0" t="0" r="0" b="0"/>
                  <wp:docPr id="213" name="Afbeelding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ution_transferred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E24179" w:rsidRPr="002C5A3C" w:rsidRDefault="00E24179" w:rsidP="00AB2C9D">
            <w:r>
              <w:rPr>
                <w:lang w:val="en-US"/>
              </w:rPr>
              <w:t>Caution: Transferred</w:t>
            </w:r>
          </w:p>
        </w:tc>
      </w:tr>
    </w:tbl>
    <w:p w:rsidR="00E24179" w:rsidRDefault="00E24179" w:rsidP="00E24179">
      <w:pPr>
        <w:pStyle w:val="Onderschrift"/>
      </w:pPr>
      <w:bookmarkStart w:id="21" w:name="_Ref399507869"/>
      <w:bookmarkStart w:id="22" w:name="_Ref399507837"/>
      <w:bookmarkStart w:id="23" w:name="_Toc4001062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1"/>
      <w:r>
        <w:t>: Alarm Icons</w:t>
      </w:r>
      <w:bookmarkEnd w:id="22"/>
      <w:bookmarkEnd w:id="23"/>
    </w:p>
    <w:p w:rsidR="00E24179" w:rsidRPr="00BF06CE" w:rsidRDefault="00E24179" w:rsidP="00E24179"/>
    <w:p w:rsidR="00E24179" w:rsidRDefault="00E24179" w:rsidP="00E24179">
      <w:r>
        <w:t xml:space="preserve">The bottom of the alarm mimic houses buttons for printing and scrolling. </w:t>
      </w:r>
    </w:p>
    <w:p w:rsidR="00E24179" w:rsidRDefault="00E24179" w:rsidP="00E24179"/>
    <w:p w:rsidR="00E24179" w:rsidRDefault="00E24179" w:rsidP="00E24179">
      <w:r>
        <w:rPr>
          <w:noProof/>
          <w:lang w:val="nl-NL" w:eastAsia="nl-NL"/>
        </w:rPr>
        <w:drawing>
          <wp:inline distT="0" distB="0" distL="0" distR="0" wp14:anchorId="25BD718A" wp14:editId="6FB97FB1">
            <wp:extent cx="1171575" cy="8763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79" w:rsidRDefault="00E24179" w:rsidP="00E24179">
      <w:pPr>
        <w:pStyle w:val="Onderschrift"/>
      </w:pPr>
      <w:bookmarkStart w:id="24" w:name="_Toc40010622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Print button</w:t>
      </w:r>
      <w:bookmarkEnd w:id="24"/>
    </w:p>
    <w:p w:rsidR="00E24179" w:rsidRDefault="00E24179" w:rsidP="00E24179">
      <w:r>
        <w:rPr>
          <w:noProof/>
          <w:lang w:val="nl-NL" w:eastAsia="nl-NL"/>
        </w:rPr>
        <w:drawing>
          <wp:inline distT="0" distB="0" distL="0" distR="0" wp14:anchorId="3A64965C" wp14:editId="3FE91C9E">
            <wp:extent cx="3667125" cy="904875"/>
            <wp:effectExtent l="0" t="0" r="952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79" w:rsidRDefault="00E24179" w:rsidP="00E24179">
      <w:pPr>
        <w:pStyle w:val="Onderschrift"/>
      </w:pPr>
      <w:bookmarkStart w:id="25" w:name="_Toc40010622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Up- down buttons</w:t>
      </w:r>
      <w:bookmarkEnd w:id="25"/>
    </w:p>
    <w:p w:rsidR="00E24179" w:rsidRDefault="00E24179" w:rsidP="00E24179">
      <w:r>
        <w:t xml:space="preserve">Upon clicking the </w:t>
      </w:r>
      <w:r w:rsidRPr="00EB68BC">
        <w:rPr>
          <w:i/>
        </w:rPr>
        <w:t>Print</w:t>
      </w:r>
      <w:r>
        <w:t xml:space="preserve"> button, you can print the alarm list (if a printer is available). With the </w:t>
      </w:r>
      <w:r w:rsidRPr="00EB68BC">
        <w:rPr>
          <w:i/>
        </w:rPr>
        <w:t>Up/</w:t>
      </w:r>
      <w:proofErr w:type="gramStart"/>
      <w:r w:rsidRPr="00EB68BC">
        <w:rPr>
          <w:i/>
        </w:rPr>
        <w:t>Down</w:t>
      </w:r>
      <w:proofErr w:type="gramEnd"/>
      <w:r>
        <w:t xml:space="preserve"> buttons you can scroll up, down or jump to the top of the list.</w:t>
      </w:r>
    </w:p>
    <w:p w:rsidR="001D66BB" w:rsidRPr="00E24179" w:rsidRDefault="001D66BB" w:rsidP="00E24179">
      <w:bookmarkStart w:id="26" w:name="_GoBack"/>
      <w:bookmarkEnd w:id="26"/>
    </w:p>
    <w:sectPr w:rsidR="001D66BB" w:rsidRPr="00E24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0F1709E"/>
    <w:multiLevelType w:val="hybridMultilevel"/>
    <w:tmpl w:val="FB3E41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19F7AD3"/>
    <w:multiLevelType w:val="hybridMultilevel"/>
    <w:tmpl w:val="A0FA4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DF"/>
    <w:rsid w:val="000800BE"/>
    <w:rsid w:val="001D66BB"/>
    <w:rsid w:val="00AB53DF"/>
    <w:rsid w:val="00AF5CEC"/>
    <w:rsid w:val="00C03552"/>
    <w:rsid w:val="00D33DAB"/>
    <w:rsid w:val="00E24179"/>
    <w:rsid w:val="00EE5171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B7550-702A-4260-815F-F97BA66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3D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AB53D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AB53D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AB53D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AB53D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AB53D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AB53D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AB53D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AB53DF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3D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AB53D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AB53DF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3D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FB2675"/>
    <w:pPr>
      <w:numPr>
        <w:numId w:val="3"/>
      </w:numPr>
    </w:pPr>
    <w:rPr>
      <w:lang w:val="en-US"/>
    </w:rPr>
  </w:style>
  <w:style w:type="paragraph" w:customStyle="1" w:styleId="Text">
    <w:name w:val="Text"/>
    <w:basedOn w:val="Normal"/>
    <w:link w:val="TextChar"/>
    <w:rsid w:val="00AF5CEC"/>
  </w:style>
  <w:style w:type="character" w:customStyle="1" w:styleId="TextChar">
    <w:name w:val="Text Char"/>
    <w:link w:val="Text"/>
    <w:rsid w:val="00AF5CEC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E2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2014-11-20T08:42:00Z</dcterms:created>
  <dcterms:modified xsi:type="dcterms:W3CDTF">2014-11-20T08:42:00Z</dcterms:modified>
</cp:coreProperties>
</file>