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0E" w:rsidRDefault="0002350E" w:rsidP="0002350E">
      <w:pPr>
        <w:pStyle w:val="Heading2"/>
      </w:pPr>
      <w:bookmarkStart w:id="0" w:name="_Toc400106173"/>
      <w:r>
        <w:t>Alarm handling</w:t>
      </w:r>
      <w:bookmarkEnd w:id="0"/>
    </w:p>
    <w:p w:rsidR="0002350E" w:rsidRDefault="0002350E" w:rsidP="0002350E"/>
    <w:p w:rsidR="0002350E" w:rsidRPr="00A15D64" w:rsidRDefault="0002350E" w:rsidP="0002350E">
      <w:r>
        <w:t xml:space="preserve">Alarm handling is determined in a set of international rules by standardization organisations. These rules are visualized in </w:t>
      </w:r>
      <w:r>
        <w:fldChar w:fldCharType="begin"/>
      </w:r>
      <w:r>
        <w:instrText xml:space="preserve"> REF _Ref339573161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02350E" w:rsidRDefault="0002350E" w:rsidP="0002350E"/>
    <w:p w:rsidR="0002350E" w:rsidRDefault="0002350E" w:rsidP="0002350E">
      <w:pPr>
        <w:pStyle w:val="Text"/>
      </w:pPr>
      <w:r>
        <w:rPr>
          <w:noProof/>
          <w:lang w:val="nl-NL" w:eastAsia="nl-NL"/>
        </w:rPr>
        <w:lastRenderedPageBreak/>
        <w:drawing>
          <wp:inline distT="0" distB="0" distL="0" distR="0" wp14:anchorId="7597883F" wp14:editId="5152C575">
            <wp:extent cx="5586761" cy="8340526"/>
            <wp:effectExtent l="0" t="0" r="0" b="3810"/>
            <wp:docPr id="182" name="Afbeelding 182" descr="闒粀闀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闒粀闀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83" cy="83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0E" w:rsidRDefault="0002350E" w:rsidP="0002350E">
      <w:pPr>
        <w:pStyle w:val="Onderschrift"/>
      </w:pPr>
      <w:bookmarkStart w:id="1" w:name="_Ref339573161"/>
      <w:bookmarkStart w:id="2" w:name="_Toc40010623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: typical alarm sequence</w:t>
      </w:r>
      <w:bookmarkEnd w:id="2"/>
    </w:p>
    <w:p w:rsidR="001D66BB" w:rsidRDefault="001D66BB">
      <w:bookmarkStart w:id="3" w:name="_GoBack"/>
      <w:bookmarkEnd w:id="3"/>
    </w:p>
    <w:sectPr w:rsidR="001D6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D66BB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1</cp:revision>
  <dcterms:created xsi:type="dcterms:W3CDTF">2014-11-20T08:46:00Z</dcterms:created>
  <dcterms:modified xsi:type="dcterms:W3CDTF">2014-11-20T08:47:00Z</dcterms:modified>
</cp:coreProperties>
</file>