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552" w:rsidRDefault="00C03552" w:rsidP="00C03552">
      <w:pPr>
        <w:pStyle w:val="Heading3"/>
      </w:pPr>
      <w:bookmarkStart w:id="0" w:name="_Toc400106166"/>
      <w:r>
        <w:t>Group viewer</w:t>
      </w:r>
      <w:bookmarkEnd w:id="0"/>
    </w:p>
    <w:p w:rsidR="00C03552" w:rsidRDefault="00C03552" w:rsidP="00C03552"/>
    <w:p w:rsidR="00C03552" w:rsidRDefault="00C03552" w:rsidP="00C03552">
      <w:r>
        <w:t xml:space="preserve">The </w:t>
      </w:r>
      <w:r w:rsidRPr="00907925">
        <w:rPr>
          <w:i/>
        </w:rPr>
        <w:t>Group Viewer</w:t>
      </w:r>
      <w:r>
        <w:t xml:space="preserve"> is the place within FT NavVision that holds the necessary information about all connected I/O. In this window, you can find a descriptive line for all the sensors with their connections and dependencies (see </w:t>
      </w:r>
      <w:r>
        <w:fldChar w:fldCharType="begin"/>
      </w:r>
      <w:r>
        <w:instrText xml:space="preserve"> REF _Ref398802003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noBreakHyphen/>
      </w:r>
      <w:r>
        <w:rPr>
          <w:noProof/>
        </w:rPr>
        <w:t>17</w:t>
      </w:r>
      <w:r>
        <w:fldChar w:fldCharType="end"/>
      </w:r>
      <w:r>
        <w:t>).</w:t>
      </w:r>
    </w:p>
    <w:p w:rsidR="00C03552" w:rsidRDefault="00C03552" w:rsidP="00C03552"/>
    <w:p w:rsidR="00C03552" w:rsidRDefault="00C03552" w:rsidP="00C03552">
      <w:r>
        <w:rPr>
          <w:noProof/>
          <w:lang w:val="nl-NL" w:eastAsia="nl-NL"/>
        </w:rPr>
        <w:drawing>
          <wp:inline distT="0" distB="0" distL="0" distR="0" wp14:anchorId="56636D3D" wp14:editId="3F629E0B">
            <wp:extent cx="5760720" cy="626808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26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52" w:rsidRDefault="00C03552" w:rsidP="00C03552">
      <w:pPr>
        <w:pStyle w:val="Onderschrift"/>
      </w:pPr>
      <w:bookmarkStart w:id="1" w:name="_Ref398802003"/>
      <w:bookmarkStart w:id="2" w:name="_Toc400106219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17</w:t>
      </w:r>
      <w:r>
        <w:fldChar w:fldCharType="end"/>
      </w:r>
      <w:bookmarkEnd w:id="1"/>
      <w:r>
        <w:t>: Group viewer</w:t>
      </w:r>
      <w:bookmarkEnd w:id="2"/>
    </w:p>
    <w:p w:rsidR="00C03552" w:rsidRDefault="00C03552" w:rsidP="00C03552">
      <w:r w:rsidRPr="00F70EE4">
        <w:t xml:space="preserve">There are </w:t>
      </w:r>
      <w:r>
        <w:t xml:space="preserve">various </w:t>
      </w:r>
      <w:r w:rsidRPr="00F70EE4">
        <w:t xml:space="preserve">columns </w:t>
      </w:r>
      <w:r>
        <w:t>that each list a specific piece of metadata of an I/O point in clear language or digits and colors.</w:t>
      </w:r>
    </w:p>
    <w:p w:rsidR="00C03552" w:rsidRDefault="00C03552" w:rsidP="00C03552"/>
    <w:p w:rsidR="00C03552" w:rsidRDefault="00C03552" w:rsidP="00C03552"/>
    <w:p w:rsidR="00C03552" w:rsidRDefault="00C03552" w:rsidP="00C03552"/>
    <w:p w:rsidR="00C03552" w:rsidRDefault="00C03552" w:rsidP="00C03552">
      <w:r>
        <w:rPr>
          <w:noProof/>
          <w:lang w:val="nl-NL" w:eastAsia="nl-NL"/>
        </w:rPr>
        <w:lastRenderedPageBreak/>
        <w:drawing>
          <wp:inline distT="0" distB="0" distL="0" distR="0" wp14:anchorId="4555E084" wp14:editId="0A92FD9A">
            <wp:extent cx="5760720" cy="774751"/>
            <wp:effectExtent l="0" t="0" r="0" b="6350"/>
            <wp:docPr id="53" name="Afbeelding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4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52" w:rsidRDefault="00C03552" w:rsidP="00C03552">
      <w:pPr>
        <w:pStyle w:val="Onderschrift"/>
      </w:pPr>
      <w:bookmarkStart w:id="3" w:name="_Toc400106220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18</w:t>
      </w:r>
      <w:r>
        <w:fldChar w:fldCharType="end"/>
      </w:r>
      <w:r>
        <w:t>:</w:t>
      </w:r>
      <w:r w:rsidRPr="00364A75">
        <w:t xml:space="preserve"> </w:t>
      </w:r>
      <w:r>
        <w:t>Group Viewer columns</w:t>
      </w:r>
      <w:bookmarkEnd w:id="3"/>
    </w:p>
    <w:p w:rsidR="00C03552" w:rsidRDefault="00C03552" w:rsidP="00C03552"/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0A0" w:firstRow="1" w:lastRow="0" w:firstColumn="1" w:lastColumn="0" w:noHBand="0" w:noVBand="0"/>
      </w:tblPr>
      <w:tblGrid>
        <w:gridCol w:w="3008"/>
        <w:gridCol w:w="5936"/>
      </w:tblGrid>
      <w:tr w:rsidR="00C03552" w:rsidRPr="00A00367" w:rsidTr="00AB2C9D">
        <w:tc>
          <w:tcPr>
            <w:tcW w:w="3080" w:type="dxa"/>
            <w:shd w:val="clear" w:color="auto" w:fill="333333"/>
          </w:tcPr>
          <w:p w:rsidR="00C03552" w:rsidRPr="00A00367" w:rsidRDefault="00C03552" w:rsidP="00AB2C9D">
            <w:pPr>
              <w:rPr>
                <w:b/>
              </w:rPr>
            </w:pPr>
            <w:r>
              <w:rPr>
                <w:b/>
              </w:rPr>
              <w:t>Column</w:t>
            </w:r>
          </w:p>
        </w:tc>
        <w:tc>
          <w:tcPr>
            <w:tcW w:w="6100" w:type="dxa"/>
            <w:shd w:val="clear" w:color="auto" w:fill="333333"/>
          </w:tcPr>
          <w:p w:rsidR="00C03552" w:rsidRPr="00A00367" w:rsidRDefault="00C03552" w:rsidP="00AB2C9D">
            <w:pPr>
              <w:rPr>
                <w:b/>
              </w:rPr>
            </w:pPr>
            <w:r>
              <w:rPr>
                <w:b/>
              </w:rPr>
              <w:t>Explanation</w:t>
            </w:r>
          </w:p>
        </w:tc>
      </w:tr>
      <w:tr w:rsidR="00C03552" w:rsidRPr="000F200F" w:rsidTr="00AB2C9D">
        <w:tc>
          <w:tcPr>
            <w:tcW w:w="3080" w:type="dxa"/>
            <w:shd w:val="clear" w:color="auto" w:fill="auto"/>
          </w:tcPr>
          <w:p w:rsidR="00C03552" w:rsidRPr="002C5A3C" w:rsidRDefault="00C03552" w:rsidP="00AB2C9D">
            <w:r>
              <w:t>Group</w:t>
            </w:r>
          </w:p>
        </w:tc>
        <w:tc>
          <w:tcPr>
            <w:tcW w:w="6100" w:type="dxa"/>
            <w:shd w:val="clear" w:color="auto" w:fill="auto"/>
          </w:tcPr>
          <w:p w:rsidR="00C03552" w:rsidRPr="00CA0364" w:rsidRDefault="00C03552" w:rsidP="00AB2C9D">
            <w:pPr>
              <w:rPr>
                <w:lang w:val="en-US"/>
              </w:rPr>
            </w:pPr>
            <w:r>
              <w:rPr>
                <w:lang w:val="en-US"/>
              </w:rPr>
              <w:t>The alarm group the I/O point belongs to</w:t>
            </w:r>
          </w:p>
        </w:tc>
      </w:tr>
      <w:tr w:rsidR="00C03552" w:rsidRPr="000F200F" w:rsidTr="00AB2C9D">
        <w:tc>
          <w:tcPr>
            <w:tcW w:w="3080" w:type="dxa"/>
            <w:shd w:val="clear" w:color="auto" w:fill="auto"/>
          </w:tcPr>
          <w:p w:rsidR="00C03552" w:rsidRPr="002C5A3C" w:rsidRDefault="00C03552" w:rsidP="00AB2C9D">
            <w:r>
              <w:t>Field</w:t>
            </w:r>
          </w:p>
        </w:tc>
        <w:tc>
          <w:tcPr>
            <w:tcW w:w="6100" w:type="dxa"/>
            <w:shd w:val="clear" w:color="auto" w:fill="auto"/>
          </w:tcPr>
          <w:p w:rsidR="00C03552" w:rsidRPr="00CA0364" w:rsidRDefault="00C03552" w:rsidP="00AB2C9D">
            <w:pPr>
              <w:rPr>
                <w:lang w:val="en-US"/>
              </w:rPr>
            </w:pPr>
            <w:r>
              <w:rPr>
                <w:lang w:val="en-US"/>
              </w:rPr>
              <w:t>The item name of the I/O point (FT NavVision ID-tag)</w:t>
            </w:r>
          </w:p>
        </w:tc>
      </w:tr>
      <w:tr w:rsidR="00C03552" w:rsidRPr="000F200F" w:rsidTr="00AB2C9D">
        <w:tc>
          <w:tcPr>
            <w:tcW w:w="3080" w:type="dxa"/>
            <w:shd w:val="clear" w:color="auto" w:fill="auto"/>
          </w:tcPr>
          <w:p w:rsidR="00C03552" w:rsidRPr="002C5A3C" w:rsidRDefault="00C03552" w:rsidP="00AB2C9D">
            <w:r>
              <w:t>Value</w:t>
            </w:r>
          </w:p>
        </w:tc>
        <w:tc>
          <w:tcPr>
            <w:tcW w:w="6100" w:type="dxa"/>
            <w:shd w:val="clear" w:color="auto" w:fill="auto"/>
          </w:tcPr>
          <w:p w:rsidR="00C03552" w:rsidRPr="00CA0364" w:rsidRDefault="00C03552" w:rsidP="00AB2C9D">
            <w:pPr>
              <w:rPr>
                <w:lang w:val="en-US"/>
              </w:rPr>
            </w:pPr>
            <w:r>
              <w:rPr>
                <w:lang w:val="en-US"/>
              </w:rPr>
              <w:t>Actual value of the I/O point</w:t>
            </w:r>
          </w:p>
        </w:tc>
      </w:tr>
      <w:tr w:rsidR="00C03552" w:rsidRPr="000F200F" w:rsidTr="00AB2C9D">
        <w:tc>
          <w:tcPr>
            <w:tcW w:w="3080" w:type="dxa"/>
            <w:shd w:val="clear" w:color="auto" w:fill="auto"/>
          </w:tcPr>
          <w:p w:rsidR="00C03552" w:rsidRPr="002C5A3C" w:rsidRDefault="00C03552" w:rsidP="00AB2C9D">
            <w:r>
              <w:t>Unity</w:t>
            </w:r>
          </w:p>
        </w:tc>
        <w:tc>
          <w:tcPr>
            <w:tcW w:w="6100" w:type="dxa"/>
            <w:shd w:val="clear" w:color="auto" w:fill="auto"/>
          </w:tcPr>
          <w:p w:rsidR="00C03552" w:rsidRPr="00CA0364" w:rsidRDefault="00C03552" w:rsidP="00AB2C9D">
            <w:pPr>
              <w:rPr>
                <w:lang w:val="en-US"/>
              </w:rPr>
            </w:pPr>
            <w:r>
              <w:rPr>
                <w:lang w:val="en-US"/>
              </w:rPr>
              <w:t>The Unity of the I/O point</w:t>
            </w:r>
          </w:p>
        </w:tc>
      </w:tr>
      <w:tr w:rsidR="00C03552" w:rsidRPr="002C5A3C" w:rsidTr="00AB2C9D">
        <w:tc>
          <w:tcPr>
            <w:tcW w:w="3080" w:type="dxa"/>
            <w:shd w:val="clear" w:color="auto" w:fill="auto"/>
          </w:tcPr>
          <w:p w:rsidR="00C03552" w:rsidRPr="002C5A3C" w:rsidRDefault="00C03552" w:rsidP="00AB2C9D">
            <w:r>
              <w:t>Alarm</w:t>
            </w:r>
          </w:p>
        </w:tc>
        <w:tc>
          <w:tcPr>
            <w:tcW w:w="6100" w:type="dxa"/>
            <w:shd w:val="clear" w:color="auto" w:fill="auto"/>
          </w:tcPr>
          <w:p w:rsidR="00C03552" w:rsidRPr="002C5A3C" w:rsidRDefault="00C03552" w:rsidP="00AB2C9D">
            <w:r>
              <w:t xml:space="preserve">Shows if the I/O </w:t>
            </w:r>
            <w:r>
              <w:rPr>
                <w:lang w:val="en-US"/>
              </w:rPr>
              <w:t xml:space="preserve">point </w:t>
            </w:r>
            <w:r>
              <w:t>is in alarm and the value of the alarm</w:t>
            </w:r>
          </w:p>
        </w:tc>
      </w:tr>
      <w:tr w:rsidR="00C03552" w:rsidRPr="002C5A3C" w:rsidTr="00AB2C9D">
        <w:tc>
          <w:tcPr>
            <w:tcW w:w="3080" w:type="dxa"/>
            <w:shd w:val="clear" w:color="auto" w:fill="auto"/>
          </w:tcPr>
          <w:p w:rsidR="00C03552" w:rsidRDefault="00C03552" w:rsidP="00AB2C9D">
            <w:r>
              <w:t>Status</w:t>
            </w:r>
          </w:p>
        </w:tc>
        <w:tc>
          <w:tcPr>
            <w:tcW w:w="6100" w:type="dxa"/>
            <w:shd w:val="clear" w:color="auto" w:fill="auto"/>
          </w:tcPr>
          <w:p w:rsidR="00C03552" w:rsidRPr="002C5A3C" w:rsidRDefault="00C03552" w:rsidP="00AB2C9D">
            <w:r>
              <w:t>Status of the I/O</w:t>
            </w:r>
            <w:r>
              <w:rPr>
                <w:lang w:val="en-US"/>
              </w:rPr>
              <w:t xml:space="preserve"> point</w:t>
            </w:r>
          </w:p>
        </w:tc>
      </w:tr>
      <w:tr w:rsidR="00C03552" w:rsidRPr="002C5A3C" w:rsidTr="00AB2C9D">
        <w:tc>
          <w:tcPr>
            <w:tcW w:w="3080" w:type="dxa"/>
            <w:shd w:val="clear" w:color="auto" w:fill="auto"/>
          </w:tcPr>
          <w:p w:rsidR="00C03552" w:rsidRDefault="00C03552" w:rsidP="00AB2C9D">
            <w:r>
              <w:t>I/O Source</w:t>
            </w:r>
          </w:p>
        </w:tc>
        <w:tc>
          <w:tcPr>
            <w:tcW w:w="6100" w:type="dxa"/>
            <w:shd w:val="clear" w:color="auto" w:fill="auto"/>
          </w:tcPr>
          <w:p w:rsidR="00C03552" w:rsidRPr="002C5A3C" w:rsidRDefault="00C03552" w:rsidP="00AB2C9D">
            <w:r>
              <w:t xml:space="preserve">The source (interface) the I/O </w:t>
            </w:r>
            <w:r>
              <w:rPr>
                <w:lang w:val="en-US"/>
              </w:rPr>
              <w:t xml:space="preserve">point </w:t>
            </w:r>
            <w:r>
              <w:t>comes from</w:t>
            </w:r>
          </w:p>
        </w:tc>
      </w:tr>
      <w:tr w:rsidR="00C03552" w:rsidRPr="002C5A3C" w:rsidTr="00AB2C9D">
        <w:tc>
          <w:tcPr>
            <w:tcW w:w="3080" w:type="dxa"/>
            <w:shd w:val="clear" w:color="auto" w:fill="auto"/>
          </w:tcPr>
          <w:p w:rsidR="00C03552" w:rsidRDefault="00C03552" w:rsidP="00AB2C9D">
            <w:r>
              <w:t>Mimic</w:t>
            </w:r>
          </w:p>
        </w:tc>
        <w:tc>
          <w:tcPr>
            <w:tcW w:w="6100" w:type="dxa"/>
            <w:shd w:val="clear" w:color="auto" w:fill="auto"/>
          </w:tcPr>
          <w:p w:rsidR="00C03552" w:rsidRPr="002C5A3C" w:rsidRDefault="00C03552" w:rsidP="00AB2C9D">
            <w:r>
              <w:t>The mimic(s) the I/O</w:t>
            </w:r>
            <w:r>
              <w:rPr>
                <w:lang w:val="en-US"/>
              </w:rPr>
              <w:t xml:space="preserve"> point</w:t>
            </w:r>
            <w:r>
              <w:t xml:space="preserve"> value is present</w:t>
            </w:r>
          </w:p>
        </w:tc>
      </w:tr>
      <w:tr w:rsidR="00C03552" w:rsidRPr="002C5A3C" w:rsidTr="00AB2C9D">
        <w:tc>
          <w:tcPr>
            <w:tcW w:w="3080" w:type="dxa"/>
            <w:shd w:val="clear" w:color="auto" w:fill="auto"/>
          </w:tcPr>
          <w:p w:rsidR="00C03552" w:rsidRDefault="00C03552" w:rsidP="00AB2C9D">
            <w:r>
              <w:t>I/O Location</w:t>
            </w:r>
          </w:p>
        </w:tc>
        <w:tc>
          <w:tcPr>
            <w:tcW w:w="6100" w:type="dxa"/>
            <w:shd w:val="clear" w:color="auto" w:fill="auto"/>
          </w:tcPr>
          <w:p w:rsidR="00C03552" w:rsidRPr="002C5A3C" w:rsidRDefault="00C03552" w:rsidP="00AB2C9D">
            <w:r>
              <w:t xml:space="preserve">The location where you can find the I/O </w:t>
            </w:r>
            <w:r>
              <w:rPr>
                <w:lang w:val="en-US"/>
              </w:rPr>
              <w:t xml:space="preserve">point </w:t>
            </w:r>
            <w:r>
              <w:t>physically</w:t>
            </w:r>
          </w:p>
        </w:tc>
      </w:tr>
    </w:tbl>
    <w:p w:rsidR="00C03552" w:rsidRDefault="00C03552" w:rsidP="00C03552">
      <w:pPr>
        <w:pStyle w:val="Onderschrift"/>
      </w:pPr>
      <w:bookmarkStart w:id="4" w:name="_Toc400106259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: Group Viewer columns</w:t>
      </w:r>
      <w:bookmarkEnd w:id="4"/>
    </w:p>
    <w:p w:rsidR="00C03552" w:rsidRDefault="00C03552" w:rsidP="00C03552">
      <w:pPr>
        <w:pStyle w:val="Heading4"/>
      </w:pPr>
      <w:bookmarkStart w:id="5" w:name="_Toc400106167"/>
      <w:r>
        <w:t>The search bar</w:t>
      </w:r>
      <w:bookmarkEnd w:id="5"/>
    </w:p>
    <w:p w:rsidR="00C03552" w:rsidRPr="003A4B2B" w:rsidRDefault="00C03552" w:rsidP="00C03552"/>
    <w:p w:rsidR="00C03552" w:rsidRDefault="00C03552" w:rsidP="00C03552">
      <w:r>
        <w:t xml:space="preserve">Using the search bar, you can reduce the amount of searchable data to a specified group. This way it is easier to pinpoint the faulty I/O </w:t>
      </w:r>
      <w:r>
        <w:rPr>
          <w:lang w:val="en-US"/>
        </w:rPr>
        <w:t>point</w:t>
      </w:r>
      <w:r>
        <w:t xml:space="preserve"> you are looking for (see </w:t>
      </w:r>
      <w:r>
        <w:fldChar w:fldCharType="begin"/>
      </w:r>
      <w:r>
        <w:instrText xml:space="preserve"> REF _Ref399324468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noBreakHyphen/>
      </w:r>
      <w:r>
        <w:rPr>
          <w:noProof/>
        </w:rPr>
        <w:t>19</w:t>
      </w:r>
      <w:r>
        <w:fldChar w:fldCharType="end"/>
      </w:r>
      <w:r>
        <w:t>).</w:t>
      </w:r>
    </w:p>
    <w:p w:rsidR="00C03552" w:rsidRDefault="00C03552" w:rsidP="00C03552"/>
    <w:p w:rsidR="00C03552" w:rsidRDefault="00C03552" w:rsidP="00C03552">
      <w:r>
        <w:rPr>
          <w:noProof/>
          <w:lang w:val="nl-NL" w:eastAsia="nl-NL"/>
        </w:rPr>
        <w:drawing>
          <wp:inline distT="0" distB="0" distL="0" distR="0" wp14:anchorId="4417A1A9" wp14:editId="59A1AA62">
            <wp:extent cx="5760720" cy="251105"/>
            <wp:effectExtent l="0" t="0" r="0" b="0"/>
            <wp:docPr id="54" name="Afbeelding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52" w:rsidRDefault="00C03552" w:rsidP="00C03552">
      <w:pPr>
        <w:pStyle w:val="Onderschrift"/>
      </w:pPr>
      <w:bookmarkStart w:id="6" w:name="_Ref399324468"/>
      <w:bookmarkStart w:id="7" w:name="_Toc400106221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19</w:t>
      </w:r>
      <w:r>
        <w:fldChar w:fldCharType="end"/>
      </w:r>
      <w:bookmarkEnd w:id="6"/>
      <w:r>
        <w:t>: Search bar</w:t>
      </w:r>
      <w:bookmarkEnd w:id="7"/>
    </w:p>
    <w:p w:rsidR="00C03552" w:rsidRDefault="00C03552" w:rsidP="00C03552">
      <w:r>
        <w:t xml:space="preserve">In the first drop-down menu, you can choose between </w:t>
      </w:r>
      <w:r w:rsidRPr="00907925">
        <w:rPr>
          <w:i/>
        </w:rPr>
        <w:t>Categories</w:t>
      </w:r>
      <w:r>
        <w:t xml:space="preserve"> and </w:t>
      </w:r>
      <w:r w:rsidRPr="00907925">
        <w:rPr>
          <w:i/>
        </w:rPr>
        <w:t>Alarm Groups</w:t>
      </w:r>
      <w:r>
        <w:t xml:space="preserve"> in which you change between the standard arrangement of categories as set in FT NavVision or the division in alarm groups. </w:t>
      </w:r>
    </w:p>
    <w:p w:rsidR="00C03552" w:rsidRDefault="00C03552" w:rsidP="00C03552"/>
    <w:p w:rsidR="00C03552" w:rsidRDefault="00C03552" w:rsidP="00C03552">
      <w:r>
        <w:t xml:space="preserve">When choosing for </w:t>
      </w:r>
      <w:r w:rsidRPr="00907925">
        <w:rPr>
          <w:i/>
        </w:rPr>
        <w:t>Alarm Groups</w:t>
      </w:r>
      <w:r>
        <w:rPr>
          <w:i/>
        </w:rPr>
        <w:t>,</w:t>
      </w:r>
      <w:r>
        <w:t xml:space="preserve"> you have the choice to narrow the selection down even further to the specific alarm group that you are looking for (see </w:t>
      </w:r>
      <w:r>
        <w:fldChar w:fldCharType="begin"/>
      </w:r>
      <w:r>
        <w:instrText xml:space="preserve"> REF _Ref399324475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noBreakHyphen/>
      </w:r>
      <w:r>
        <w:rPr>
          <w:noProof/>
        </w:rPr>
        <w:t>20</w:t>
      </w:r>
      <w:r>
        <w:fldChar w:fldCharType="end"/>
      </w:r>
      <w:r>
        <w:t>).</w:t>
      </w:r>
    </w:p>
    <w:p w:rsidR="00C03552" w:rsidRDefault="00C03552" w:rsidP="00C03552"/>
    <w:p w:rsidR="00C03552" w:rsidRPr="003A4B2B" w:rsidRDefault="00C03552" w:rsidP="00C03552">
      <w:r>
        <w:t xml:space="preserve">When you choose for the </w:t>
      </w:r>
      <w:r w:rsidRPr="00907925">
        <w:rPr>
          <w:i/>
        </w:rPr>
        <w:t>Categories</w:t>
      </w:r>
      <w:r>
        <w:t xml:space="preserve">, you can narrow it down to the group and even subgroup for that particular I/O point (see </w:t>
      </w:r>
      <w:r>
        <w:fldChar w:fldCharType="begin"/>
      </w:r>
      <w:r>
        <w:instrText xml:space="preserve"> REF _Ref399324484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noBreakHyphen/>
      </w:r>
      <w:r>
        <w:rPr>
          <w:noProof/>
        </w:rPr>
        <w:t>21</w:t>
      </w:r>
      <w:r>
        <w:fldChar w:fldCharType="end"/>
      </w:r>
      <w:r>
        <w:t xml:space="preserve"> and </w:t>
      </w:r>
      <w:r>
        <w:fldChar w:fldCharType="begin"/>
      </w:r>
      <w:r>
        <w:instrText xml:space="preserve"> REF _Ref399324494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noBreakHyphen/>
      </w:r>
      <w:r>
        <w:rPr>
          <w:noProof/>
        </w:rPr>
        <w:t>22</w:t>
      </w:r>
      <w:r>
        <w:fldChar w:fldCharType="end"/>
      </w:r>
      <w:r>
        <w:t>).</w:t>
      </w:r>
    </w:p>
    <w:p w:rsidR="00C03552" w:rsidRDefault="00C03552" w:rsidP="00C03552"/>
    <w:p w:rsidR="00C03552" w:rsidRDefault="00C03552" w:rsidP="00C03552">
      <w:r>
        <w:rPr>
          <w:noProof/>
          <w:lang w:val="nl-NL" w:eastAsia="nl-NL"/>
        </w:rPr>
        <w:drawing>
          <wp:inline distT="0" distB="0" distL="0" distR="0" wp14:anchorId="2A125136" wp14:editId="1BC255C4">
            <wp:extent cx="3419475" cy="1104900"/>
            <wp:effectExtent l="0" t="0" r="9525" b="0"/>
            <wp:docPr id="55" name="Afbeelding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52" w:rsidRDefault="00C03552" w:rsidP="00C03552">
      <w:pPr>
        <w:pStyle w:val="Onderschrift"/>
      </w:pPr>
      <w:bookmarkStart w:id="8" w:name="_Ref399324475"/>
      <w:bookmarkStart w:id="9" w:name="_Toc400106222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20</w:t>
      </w:r>
      <w:r>
        <w:fldChar w:fldCharType="end"/>
      </w:r>
      <w:bookmarkEnd w:id="8"/>
      <w:r>
        <w:t>: Alarm groups</w:t>
      </w:r>
      <w:bookmarkEnd w:id="9"/>
    </w:p>
    <w:p w:rsidR="00C03552" w:rsidRDefault="00C03552" w:rsidP="00C03552">
      <w:r>
        <w:rPr>
          <w:noProof/>
          <w:lang w:val="nl-NL" w:eastAsia="nl-NL"/>
        </w:rPr>
        <w:lastRenderedPageBreak/>
        <w:drawing>
          <wp:inline distT="0" distB="0" distL="0" distR="0" wp14:anchorId="09610F2E" wp14:editId="6B901C6B">
            <wp:extent cx="5760720" cy="1081300"/>
            <wp:effectExtent l="0" t="0" r="0" b="5080"/>
            <wp:docPr id="56" name="Afbeelding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52" w:rsidRDefault="00C03552" w:rsidP="00C03552">
      <w:pPr>
        <w:pStyle w:val="Onderschrift"/>
      </w:pPr>
      <w:bookmarkStart w:id="10" w:name="_Ref399324484"/>
      <w:bookmarkStart w:id="11" w:name="_Toc400106223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21</w:t>
      </w:r>
      <w:r>
        <w:fldChar w:fldCharType="end"/>
      </w:r>
      <w:bookmarkEnd w:id="10"/>
      <w:r>
        <w:t>: Categories group</w:t>
      </w:r>
      <w:bookmarkEnd w:id="11"/>
    </w:p>
    <w:p w:rsidR="00C03552" w:rsidRDefault="00C03552" w:rsidP="00C03552">
      <w:r>
        <w:rPr>
          <w:noProof/>
          <w:lang w:val="nl-NL" w:eastAsia="nl-NL"/>
        </w:rPr>
        <w:drawing>
          <wp:inline distT="0" distB="0" distL="0" distR="0" wp14:anchorId="129F245E" wp14:editId="7E42E869">
            <wp:extent cx="5760720" cy="1081300"/>
            <wp:effectExtent l="0" t="0" r="0" b="5080"/>
            <wp:docPr id="57" name="Afbeelding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52" w:rsidRDefault="00C03552" w:rsidP="00C03552">
      <w:pPr>
        <w:pStyle w:val="Onderschrift"/>
      </w:pPr>
      <w:bookmarkStart w:id="12" w:name="_Ref399324494"/>
      <w:bookmarkStart w:id="13" w:name="_Toc400106224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22</w:t>
      </w:r>
      <w:r>
        <w:fldChar w:fldCharType="end"/>
      </w:r>
      <w:bookmarkEnd w:id="12"/>
      <w:r>
        <w:t>: Categories subgroup</w:t>
      </w:r>
      <w:bookmarkEnd w:id="13"/>
    </w:p>
    <w:p w:rsidR="00C03552" w:rsidRDefault="00C03552" w:rsidP="00C03552">
      <w:r>
        <w:t xml:space="preserve">If there is an I/O point currently in alarm status, it will give information on the fact that it is in alarm (red) and what its status is (see </w:t>
      </w:r>
      <w:r>
        <w:fldChar w:fldCharType="begin"/>
      </w:r>
      <w:r>
        <w:instrText xml:space="preserve"> REF _Ref399325370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noBreakHyphen/>
      </w:r>
      <w:r>
        <w:rPr>
          <w:noProof/>
        </w:rPr>
        <w:t>23</w:t>
      </w:r>
      <w:r>
        <w:fldChar w:fldCharType="end"/>
      </w:r>
      <w:r>
        <w:t xml:space="preserve">). Also the mimic it is presented on and the I/O location can be read from the group viewer (see </w:t>
      </w:r>
      <w:r>
        <w:fldChar w:fldCharType="begin"/>
      </w:r>
      <w:r>
        <w:instrText xml:space="preserve"> REF _Ref399325376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noBreakHyphen/>
      </w:r>
      <w:r>
        <w:rPr>
          <w:noProof/>
        </w:rPr>
        <w:t>24</w:t>
      </w:r>
      <w:r>
        <w:fldChar w:fldCharType="end"/>
      </w:r>
      <w:r>
        <w:t>).</w:t>
      </w:r>
    </w:p>
    <w:p w:rsidR="00C03552" w:rsidRDefault="00C03552" w:rsidP="00C03552"/>
    <w:p w:rsidR="00C03552" w:rsidRDefault="00C03552" w:rsidP="00C03552">
      <w:r>
        <w:rPr>
          <w:noProof/>
          <w:lang w:val="nl-NL" w:eastAsia="nl-NL"/>
        </w:rPr>
        <w:drawing>
          <wp:inline distT="0" distB="0" distL="0" distR="0" wp14:anchorId="67DB022C" wp14:editId="57EF3FE7">
            <wp:extent cx="5760720" cy="254565"/>
            <wp:effectExtent l="0" t="0" r="0" b="0"/>
            <wp:docPr id="58" name="Afbeelding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52" w:rsidRDefault="00C03552" w:rsidP="00C03552">
      <w:pPr>
        <w:pStyle w:val="Onderschrift"/>
      </w:pPr>
      <w:bookmarkStart w:id="14" w:name="_Ref399325370"/>
      <w:bookmarkStart w:id="15" w:name="_Toc400106225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23</w:t>
      </w:r>
      <w:r>
        <w:fldChar w:fldCharType="end"/>
      </w:r>
      <w:bookmarkEnd w:id="14"/>
      <w:r>
        <w:t>: Group viewer in alarm</w:t>
      </w:r>
      <w:bookmarkEnd w:id="15"/>
    </w:p>
    <w:p w:rsidR="00C03552" w:rsidRDefault="00C03552" w:rsidP="00C03552">
      <w:r>
        <w:rPr>
          <w:noProof/>
          <w:lang w:val="nl-NL" w:eastAsia="nl-NL"/>
        </w:rPr>
        <w:drawing>
          <wp:inline distT="0" distB="0" distL="0" distR="0" wp14:anchorId="10736CAB" wp14:editId="371C973E">
            <wp:extent cx="2447925" cy="552450"/>
            <wp:effectExtent l="0" t="0" r="9525" b="0"/>
            <wp:docPr id="59" name="Afbeelding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552" w:rsidRDefault="00C03552" w:rsidP="00C03552">
      <w:pPr>
        <w:pStyle w:val="Onderschrift"/>
      </w:pPr>
      <w:bookmarkStart w:id="16" w:name="_Ref399325376"/>
      <w:bookmarkStart w:id="17" w:name="_Toc400106226"/>
      <w:r>
        <w:t xml:space="preserve">Figure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24</w:t>
      </w:r>
      <w:r>
        <w:fldChar w:fldCharType="end"/>
      </w:r>
      <w:bookmarkEnd w:id="16"/>
      <w:r>
        <w:t>: Group viewer mimic and I/O location</w:t>
      </w:r>
      <w:bookmarkEnd w:id="17"/>
    </w:p>
    <w:p w:rsidR="001D66BB" w:rsidRPr="00C03552" w:rsidRDefault="001D66BB" w:rsidP="00C03552">
      <w:pPr>
        <w:rPr>
          <w:lang w:val="en-US"/>
        </w:rPr>
      </w:pPr>
      <w:bookmarkStart w:id="18" w:name="_GoBack"/>
      <w:bookmarkEnd w:id="18"/>
    </w:p>
    <w:sectPr w:rsidR="001D66BB" w:rsidRPr="00C03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008EAEE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  <w:rPr>
        <w:lang w:val="en-GB"/>
      </w:rPr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50F1709E"/>
    <w:multiLevelType w:val="hybridMultilevel"/>
    <w:tmpl w:val="FB3E41A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79E06915"/>
    <w:multiLevelType w:val="hybridMultilevel"/>
    <w:tmpl w:val="EF4604EA"/>
    <w:lvl w:ilvl="0" w:tplc="D0BEB7F0">
      <w:start w:val="1"/>
      <w:numFmt w:val="decimal"/>
      <w:pStyle w:val="References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3DF"/>
    <w:rsid w:val="000800BE"/>
    <w:rsid w:val="001D66BB"/>
    <w:rsid w:val="00AB53DF"/>
    <w:rsid w:val="00AF5CEC"/>
    <w:rsid w:val="00C03552"/>
    <w:rsid w:val="00D33DAB"/>
    <w:rsid w:val="00EE5171"/>
    <w:rsid w:val="00FB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6B7550-702A-4260-815F-F97BA6619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53D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Arial" w:eastAsia="Times New Roman" w:hAnsi="Arial" w:cs="Times New Roman"/>
      <w:szCs w:val="20"/>
      <w:lang w:val="en-GB"/>
    </w:rPr>
  </w:style>
  <w:style w:type="paragraph" w:styleId="Heading1">
    <w:name w:val="heading 1"/>
    <w:aliases w:val="Hoofdstuk,Module"/>
    <w:basedOn w:val="Normal"/>
    <w:next w:val="Heading2"/>
    <w:link w:val="Heading1Char"/>
    <w:qFormat/>
    <w:rsid w:val="00AB53DF"/>
    <w:pPr>
      <w:keepNext/>
      <w:numPr>
        <w:numId w:val="1"/>
      </w:numPr>
      <w:spacing w:before="240" w:after="120" w:line="480" w:lineRule="atLeast"/>
      <w:outlineLvl w:val="0"/>
    </w:pPr>
    <w:rPr>
      <w:rFonts w:eastAsiaTheme="majorEastAsia" w:cstheme="majorBidi"/>
      <w:b/>
      <w:sz w:val="32"/>
    </w:rPr>
  </w:style>
  <w:style w:type="paragraph" w:styleId="Heading2">
    <w:name w:val="heading 2"/>
    <w:aliases w:val="2,Para level 2,h2,heading 2,Level 2,hd2,w2,sub-sect,Titre 2,l2,l 2,two,Memo 2,21,22,23,24,211,221,231,Sub,Module + Onder: (Enkel,Auto,0,75 pt Lijndikte),Hoofdstuk Char,Module + ...,Module + Onder: (Enkel1,Auto1,01,75 pt Lijndikte)1,Alinea"/>
    <w:basedOn w:val="Normal"/>
    <w:next w:val="Normal"/>
    <w:link w:val="Heading2Char"/>
    <w:qFormat/>
    <w:rsid w:val="00AB53DF"/>
    <w:pPr>
      <w:keepNext/>
      <w:numPr>
        <w:ilvl w:val="1"/>
        <w:numId w:val="1"/>
      </w:numPr>
      <w:spacing w:before="240"/>
      <w:outlineLvl w:val="1"/>
    </w:pPr>
    <w:rPr>
      <w:rFonts w:eastAsiaTheme="majorEastAsia" w:cstheme="majorBidi"/>
      <w:b/>
      <w:sz w:val="24"/>
    </w:rPr>
  </w:style>
  <w:style w:type="paragraph" w:styleId="Heading3">
    <w:name w:val="heading 3"/>
    <w:aliases w:val="Paragraaf,paragraaf"/>
    <w:basedOn w:val="Heading2"/>
    <w:next w:val="Normal"/>
    <w:link w:val="Heading3Char"/>
    <w:qFormat/>
    <w:rsid w:val="00AB53DF"/>
    <w:pPr>
      <w:numPr>
        <w:ilvl w:val="2"/>
      </w:numPr>
      <w:outlineLvl w:val="2"/>
    </w:pPr>
    <w:rPr>
      <w:sz w:val="22"/>
    </w:rPr>
  </w:style>
  <w:style w:type="paragraph" w:styleId="Heading4">
    <w:name w:val="heading 4"/>
    <w:aliases w:val="Sectie"/>
    <w:basedOn w:val="Heading2"/>
    <w:next w:val="Normal"/>
    <w:link w:val="Heading4Char"/>
    <w:qFormat/>
    <w:rsid w:val="00AB53DF"/>
    <w:pPr>
      <w:numPr>
        <w:ilvl w:val="3"/>
      </w:numPr>
      <w:outlineLvl w:val="3"/>
    </w:pPr>
  </w:style>
  <w:style w:type="paragraph" w:styleId="Heading5">
    <w:name w:val="heading 5"/>
    <w:aliases w:val="Onderdeel"/>
    <w:basedOn w:val="Heading2"/>
    <w:next w:val="Normal"/>
    <w:link w:val="Heading5Char"/>
    <w:qFormat/>
    <w:rsid w:val="00AB53DF"/>
    <w:pPr>
      <w:numPr>
        <w:ilvl w:val="4"/>
      </w:numPr>
      <w:outlineLvl w:val="4"/>
    </w:pPr>
  </w:style>
  <w:style w:type="paragraph" w:styleId="Heading6">
    <w:name w:val="heading 6"/>
    <w:basedOn w:val="Heading2"/>
    <w:next w:val="Normal"/>
    <w:link w:val="Heading6Char"/>
    <w:qFormat/>
    <w:rsid w:val="00AB53DF"/>
    <w:pPr>
      <w:numPr>
        <w:ilvl w:val="5"/>
      </w:numPr>
      <w:outlineLvl w:val="5"/>
    </w:pPr>
  </w:style>
  <w:style w:type="paragraph" w:styleId="Heading7">
    <w:name w:val="heading 7"/>
    <w:aliases w:val="7,Para level 7,h7,heading 7,71,Para level 71,h71,heading 71,72,Para level 72,h72,heading 72,73,Para level 73,h73,heading 73,74,Para level 74,h74,heading 74,75,Para level 75,h75,heading 75,76,Para level 76,h76,heading 76,77,Para level 77,h77,78"/>
    <w:basedOn w:val="Heading2"/>
    <w:next w:val="Normal"/>
    <w:link w:val="Heading7Char"/>
    <w:qFormat/>
    <w:rsid w:val="00AB53DF"/>
    <w:pPr>
      <w:numPr>
        <w:ilvl w:val="6"/>
      </w:numPr>
      <w:outlineLvl w:val="6"/>
    </w:pPr>
  </w:style>
  <w:style w:type="paragraph" w:styleId="Heading8">
    <w:name w:val="heading 8"/>
    <w:aliases w:val="8,h8,heading 8,81,h81,heading 81,82,h82,heading 82,83,h83,heading 83,84,h84,heading 84,85,h85,heading 85,86,h86,heading 86,87,h87,heading 87,88,h88,heading 88,811,h811,heading 811,821,h821,heading 821,831,h831,heading 831,841,h841,heading 841"/>
    <w:basedOn w:val="Heading2"/>
    <w:next w:val="Normal"/>
    <w:link w:val="Heading8Char"/>
    <w:qFormat/>
    <w:rsid w:val="00AB53DF"/>
    <w:pPr>
      <w:numPr>
        <w:ilvl w:val="7"/>
      </w:numPr>
      <w:ind w:left="5760" w:hanging="360"/>
      <w:outlineLvl w:val="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B53DF"/>
    <w:rPr>
      <w:rFonts w:ascii="Arial" w:eastAsiaTheme="majorEastAsia" w:hAnsi="Arial" w:cstheme="majorBidi"/>
      <w:b/>
      <w:sz w:val="32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rsid w:val="00AB53D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3Char">
    <w:name w:val="Heading 3 Char"/>
    <w:aliases w:val="Paragraaf Char1,paragraaf Char"/>
    <w:basedOn w:val="DefaultParagraphFont"/>
    <w:link w:val="Heading3"/>
    <w:rsid w:val="00AB53DF"/>
    <w:rPr>
      <w:rFonts w:ascii="Arial" w:eastAsiaTheme="majorEastAsia" w:hAnsi="Arial" w:cstheme="majorBidi"/>
      <w:b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AB53D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rsid w:val="00AB53D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rsid w:val="00AB53D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rsid w:val="00AB53DF"/>
    <w:rPr>
      <w:rFonts w:ascii="Arial" w:eastAsiaTheme="majorEastAsia" w:hAnsi="Arial" w:cstheme="majorBidi"/>
      <w:b/>
      <w:sz w:val="24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rsid w:val="00AB53DF"/>
    <w:rPr>
      <w:rFonts w:ascii="Arial" w:eastAsiaTheme="majorEastAsia" w:hAnsi="Arial" w:cstheme="majorBidi"/>
      <w:b/>
      <w:sz w:val="24"/>
      <w:szCs w:val="20"/>
      <w:lang w:val="en-GB"/>
    </w:rPr>
  </w:style>
  <w:style w:type="paragraph" w:customStyle="1" w:styleId="Onderschrift">
    <w:name w:val="Onderschrift"/>
    <w:basedOn w:val="Caption"/>
    <w:autoRedefine/>
    <w:qFormat/>
    <w:rsid w:val="00AB53DF"/>
    <w:pPr>
      <w:spacing w:before="120" w:after="240"/>
    </w:pPr>
    <w:rPr>
      <w:rFonts w:cs="Arial"/>
      <w:b/>
      <w:i w:val="0"/>
      <w:iCs w:val="0"/>
      <w:color w:val="auto"/>
      <w:szCs w:val="22"/>
      <w:lang w:val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B53DF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References">
    <w:name w:val="References"/>
    <w:basedOn w:val="Normal"/>
    <w:rsid w:val="00FB2675"/>
    <w:pPr>
      <w:numPr>
        <w:numId w:val="3"/>
      </w:numPr>
    </w:pPr>
    <w:rPr>
      <w:lang w:val="en-US"/>
    </w:rPr>
  </w:style>
  <w:style w:type="paragraph" w:customStyle="1" w:styleId="Text">
    <w:name w:val="Text"/>
    <w:basedOn w:val="Normal"/>
    <w:link w:val="TextChar"/>
    <w:rsid w:val="00AF5CEC"/>
  </w:style>
  <w:style w:type="character" w:customStyle="1" w:styleId="TextChar">
    <w:name w:val="Text Char"/>
    <w:link w:val="Text"/>
    <w:rsid w:val="00AF5CEC"/>
    <w:rPr>
      <w:rFonts w:ascii="Arial" w:eastAsia="Times New Roman" w:hAnsi="Arial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VCMM Kerckhaert</dc:creator>
  <cp:keywords/>
  <dc:description/>
  <cp:lastModifiedBy>VCMM Kerckhaert</cp:lastModifiedBy>
  <cp:revision>2</cp:revision>
  <dcterms:created xsi:type="dcterms:W3CDTF">2014-11-20T08:41:00Z</dcterms:created>
  <dcterms:modified xsi:type="dcterms:W3CDTF">2014-11-20T08:41:00Z</dcterms:modified>
</cp:coreProperties>
</file>