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CEC" w:rsidRPr="00D24674" w:rsidRDefault="00AF5CEC" w:rsidP="00AF5CEC">
      <w:pPr>
        <w:pStyle w:val="Heading3"/>
      </w:pPr>
      <w:bookmarkStart w:id="0" w:name="_Toc400106161"/>
      <w:r w:rsidRPr="00D24674">
        <w:t>Logbook</w:t>
      </w:r>
      <w:bookmarkEnd w:id="0"/>
    </w:p>
    <w:p w:rsidR="00AF5CEC" w:rsidRDefault="00AF5CEC" w:rsidP="00AF5CEC">
      <w:pPr>
        <w:rPr>
          <w:lang w:val="en-US"/>
        </w:rPr>
      </w:pPr>
    </w:p>
    <w:p w:rsidR="00AF5CEC" w:rsidRDefault="00AF5CEC" w:rsidP="00AF5CEC">
      <w:pPr>
        <w:pStyle w:val="Text"/>
        <w:rPr>
          <w:rFonts w:cs="Calibri"/>
          <w:color w:val="000000"/>
          <w:lang w:val="en-US"/>
        </w:rPr>
      </w:pPr>
      <w:r>
        <w:rPr>
          <w:rFonts w:cs="Calibri"/>
          <w:color w:val="000000"/>
          <w:lang w:val="en-US"/>
        </w:rPr>
        <w:t xml:space="preserve">During normal operation, </w:t>
      </w:r>
      <w:r w:rsidRPr="00D47797">
        <w:rPr>
          <w:rFonts w:cs="Calibri"/>
          <w:color w:val="000000"/>
          <w:lang w:val="en-US"/>
        </w:rPr>
        <w:t xml:space="preserve">all system events </w:t>
      </w:r>
      <w:r>
        <w:rPr>
          <w:rFonts w:cs="Calibri"/>
          <w:color w:val="000000"/>
          <w:lang w:val="en-US"/>
        </w:rPr>
        <w:t xml:space="preserve">are registered </w:t>
      </w:r>
      <w:r w:rsidRPr="00D47797">
        <w:rPr>
          <w:rFonts w:cs="Calibri"/>
          <w:color w:val="000000"/>
          <w:lang w:val="en-US"/>
        </w:rPr>
        <w:t>chronologically.</w:t>
      </w:r>
      <w:r>
        <w:rPr>
          <w:rFonts w:cs="Calibri"/>
          <w:color w:val="000000"/>
          <w:lang w:val="en-US"/>
        </w:rPr>
        <w:t xml:space="preserve"> By clicking the </w:t>
      </w:r>
      <w:r w:rsidRPr="00717E4D">
        <w:rPr>
          <w:rFonts w:cs="Calibri"/>
          <w:i/>
          <w:color w:val="000000"/>
          <w:lang w:val="en-US"/>
        </w:rPr>
        <w:t>Logbook</w:t>
      </w:r>
      <w:r>
        <w:rPr>
          <w:rFonts w:cs="Calibri"/>
          <w:color w:val="000000"/>
          <w:lang w:val="en-US"/>
        </w:rPr>
        <w:t xml:space="preserve"> button (see </w:t>
      </w:r>
      <w:r>
        <w:rPr>
          <w:rFonts w:cs="Calibri"/>
          <w:color w:val="000000"/>
          <w:lang w:val="en-US"/>
        </w:rPr>
        <w:fldChar w:fldCharType="begin"/>
      </w:r>
      <w:r>
        <w:rPr>
          <w:rFonts w:cs="Calibri"/>
          <w:color w:val="000000"/>
          <w:lang w:val="en-US"/>
        </w:rPr>
        <w:instrText xml:space="preserve"> REF _Ref398717955 \h </w:instrText>
      </w:r>
      <w:r>
        <w:rPr>
          <w:rFonts w:cs="Calibri"/>
          <w:color w:val="000000"/>
          <w:lang w:val="en-US"/>
        </w:rPr>
      </w:r>
      <w:r>
        <w:rPr>
          <w:rFonts w:cs="Calibri"/>
          <w:color w:val="000000"/>
          <w:lang w:val="en-US"/>
        </w:rPr>
        <w:fldChar w:fldCharType="separate"/>
      </w:r>
      <w:r>
        <w:t xml:space="preserve">Figure </w:t>
      </w:r>
      <w:r>
        <w:rPr>
          <w:noProof/>
        </w:rPr>
        <w:t>1</w:t>
      </w:r>
      <w:r>
        <w:noBreakHyphen/>
      </w:r>
      <w:r>
        <w:rPr>
          <w:noProof/>
        </w:rPr>
        <w:t>1</w:t>
      </w:r>
      <w:r>
        <w:rPr>
          <w:rFonts w:cs="Calibri"/>
          <w:color w:val="000000"/>
          <w:lang w:val="en-US"/>
        </w:rPr>
        <w:fldChar w:fldCharType="end"/>
      </w:r>
      <w:r>
        <w:rPr>
          <w:rFonts w:cs="Calibri"/>
          <w:color w:val="000000"/>
          <w:lang w:val="en-US"/>
        </w:rPr>
        <w:t xml:space="preserve">), these registered system events are displayed in a dedicated screen. It is also possible to show the logbook in any mimic (see </w:t>
      </w:r>
      <w:r>
        <w:rPr>
          <w:rFonts w:cs="Calibri"/>
          <w:color w:val="000000"/>
          <w:lang w:val="en-US"/>
        </w:rPr>
        <w:fldChar w:fldCharType="begin"/>
      </w:r>
      <w:r>
        <w:rPr>
          <w:rFonts w:cs="Calibri"/>
          <w:color w:val="000000"/>
          <w:lang w:val="en-US"/>
        </w:rPr>
        <w:instrText xml:space="preserve"> REF _Ref398647006 \h </w:instrText>
      </w:r>
      <w:r>
        <w:rPr>
          <w:rFonts w:cs="Calibri"/>
          <w:color w:val="000000"/>
          <w:lang w:val="en-US"/>
        </w:rPr>
      </w:r>
      <w:r>
        <w:rPr>
          <w:rFonts w:cs="Calibri"/>
          <w:color w:val="000000"/>
          <w:lang w:val="en-US"/>
        </w:rPr>
        <w:fldChar w:fldCharType="separate"/>
      </w:r>
      <w:r>
        <w:t xml:space="preserve">Figure </w:t>
      </w:r>
      <w:r>
        <w:rPr>
          <w:noProof/>
        </w:rPr>
        <w:t>1</w:t>
      </w:r>
      <w:r>
        <w:noBreakHyphen/>
      </w:r>
      <w:r>
        <w:rPr>
          <w:noProof/>
        </w:rPr>
        <w:t>8</w:t>
      </w:r>
      <w:r>
        <w:rPr>
          <w:rFonts w:cs="Calibri"/>
          <w:color w:val="000000"/>
          <w:lang w:val="en-US"/>
        </w:rPr>
        <w:fldChar w:fldCharType="end"/>
      </w:r>
      <w:r>
        <w:rPr>
          <w:rFonts w:cs="Calibri"/>
          <w:color w:val="000000"/>
          <w:lang w:val="en-US"/>
        </w:rPr>
        <w:t>).</w:t>
      </w:r>
    </w:p>
    <w:p w:rsidR="00AF5CEC" w:rsidRDefault="00AF5CEC" w:rsidP="00AF5CEC">
      <w:pPr>
        <w:pStyle w:val="Text"/>
        <w:rPr>
          <w:rFonts w:cs="Calibri"/>
          <w:color w:val="000000"/>
          <w:lang w:val="en-US"/>
        </w:rPr>
      </w:pPr>
    </w:p>
    <w:p w:rsidR="00AF5CEC" w:rsidRDefault="00AF5CEC" w:rsidP="00AF5CEC">
      <w:pPr>
        <w:pStyle w:val="Heading4"/>
        <w:rPr>
          <w:lang w:val="en-US"/>
        </w:rPr>
      </w:pPr>
      <w:bookmarkStart w:id="1" w:name="_Toc400106162"/>
      <w:r>
        <w:rPr>
          <w:lang w:val="en-US"/>
        </w:rPr>
        <w:t>Logbook groups</w:t>
      </w:r>
      <w:bookmarkEnd w:id="1"/>
    </w:p>
    <w:p w:rsidR="00AF5CEC" w:rsidRPr="00EC3251" w:rsidRDefault="00AF5CEC" w:rsidP="00AF5CEC">
      <w:pPr>
        <w:rPr>
          <w:lang w:val="en-US"/>
        </w:rPr>
      </w:pPr>
    </w:p>
    <w:p w:rsidR="00AF5CEC" w:rsidRDefault="00AF5CEC" w:rsidP="00AF5CEC">
      <w:pPr>
        <w:pStyle w:val="Text"/>
        <w:rPr>
          <w:rFonts w:cs="Calibri"/>
          <w:color w:val="000000"/>
          <w:lang w:val="en-US"/>
        </w:rPr>
      </w:pPr>
      <w:r>
        <w:rPr>
          <w:rFonts w:cs="Calibri"/>
          <w:color w:val="000000"/>
          <w:lang w:val="en-US"/>
        </w:rPr>
        <w:t xml:space="preserve">In order to separate various categories of information from each other, log entries are stored in various logging-groups. You can select them all or just a few of them, or even one if you need to focus on these entries. Just by selecting the category label at the top of the list, you filter the information you need (see </w:t>
      </w:r>
      <w:r>
        <w:rPr>
          <w:rFonts w:cs="Calibri"/>
          <w:color w:val="000000"/>
          <w:lang w:val="en-US"/>
        </w:rPr>
        <w:fldChar w:fldCharType="begin"/>
      </w:r>
      <w:r>
        <w:rPr>
          <w:rFonts w:cs="Calibri"/>
          <w:color w:val="000000"/>
          <w:lang w:val="en-US"/>
        </w:rPr>
        <w:instrText xml:space="preserve"> REF _Ref398719670 \h </w:instrText>
      </w:r>
      <w:r>
        <w:rPr>
          <w:rFonts w:cs="Calibri"/>
          <w:color w:val="000000"/>
          <w:lang w:val="en-US"/>
        </w:rPr>
      </w:r>
      <w:r>
        <w:rPr>
          <w:rFonts w:cs="Calibri"/>
          <w:color w:val="000000"/>
          <w:lang w:val="en-US"/>
        </w:rPr>
        <w:fldChar w:fldCharType="separate"/>
      </w:r>
      <w:r>
        <w:t xml:space="preserve">Figure </w:t>
      </w:r>
      <w:r>
        <w:rPr>
          <w:noProof/>
        </w:rPr>
        <w:t>1</w:t>
      </w:r>
      <w:r>
        <w:noBreakHyphen/>
      </w:r>
      <w:r>
        <w:rPr>
          <w:noProof/>
        </w:rPr>
        <w:t>9</w:t>
      </w:r>
      <w:r>
        <w:rPr>
          <w:rFonts w:cs="Calibri"/>
          <w:color w:val="000000"/>
          <w:lang w:val="en-US"/>
        </w:rPr>
        <w:fldChar w:fldCharType="end"/>
      </w:r>
      <w:r>
        <w:rPr>
          <w:rFonts w:cs="Calibri"/>
          <w:color w:val="000000"/>
          <w:lang w:val="en-US"/>
        </w:rPr>
        <w:t>).</w:t>
      </w:r>
    </w:p>
    <w:p w:rsidR="00AF5CEC" w:rsidRDefault="00AF5CEC" w:rsidP="00AF5CEC">
      <w:pPr>
        <w:pStyle w:val="Text"/>
        <w:rPr>
          <w:rFonts w:cs="Calibri"/>
          <w:color w:val="000000"/>
          <w:lang w:val="en-US"/>
        </w:rPr>
      </w:pPr>
    </w:p>
    <w:p w:rsidR="00AF5CEC" w:rsidRDefault="00AF5CEC" w:rsidP="00AF5CEC">
      <w:pPr>
        <w:pStyle w:val="Text"/>
        <w:rPr>
          <w:rFonts w:cs="Calibri"/>
          <w:color w:val="000000"/>
          <w:lang w:val="en-US"/>
        </w:rPr>
      </w:pPr>
      <w:r>
        <w:rPr>
          <w:noProof/>
          <w:lang w:val="nl-NL" w:eastAsia="nl-NL"/>
        </w:rPr>
        <w:drawing>
          <wp:inline distT="0" distB="0" distL="0" distR="0" wp14:anchorId="1DEA7E83" wp14:editId="480433DE">
            <wp:extent cx="5760720" cy="395031"/>
            <wp:effectExtent l="0" t="0" r="0" b="5080"/>
            <wp:docPr id="71" name="Afbeelding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760720" cy="395031"/>
                    </a:xfrm>
                    <a:prstGeom prst="rect">
                      <a:avLst/>
                    </a:prstGeom>
                  </pic:spPr>
                </pic:pic>
              </a:graphicData>
            </a:graphic>
          </wp:inline>
        </w:drawing>
      </w:r>
    </w:p>
    <w:p w:rsidR="00AF5CEC" w:rsidRDefault="00AF5CEC" w:rsidP="00AF5CEC">
      <w:pPr>
        <w:pStyle w:val="Onderschrift"/>
      </w:pPr>
      <w:bookmarkStart w:id="2" w:name="_Ref398719670"/>
      <w:bookmarkStart w:id="3" w:name="_Toc400106211"/>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9</w:t>
      </w:r>
      <w:r>
        <w:fldChar w:fldCharType="end"/>
      </w:r>
      <w:bookmarkEnd w:id="2"/>
      <w:r>
        <w:t>: logging groups, all selected</w:t>
      </w:r>
      <w:bookmarkEnd w:id="3"/>
    </w:p>
    <w:tbl>
      <w:tblPr>
        <w:tblW w:w="0" w:type="auto"/>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3011"/>
        <w:gridCol w:w="5933"/>
      </w:tblGrid>
      <w:tr w:rsidR="00AF5CEC" w:rsidRPr="00A00367" w:rsidTr="00AB2C9D">
        <w:tc>
          <w:tcPr>
            <w:tcW w:w="3080" w:type="dxa"/>
            <w:shd w:val="clear" w:color="auto" w:fill="333333"/>
          </w:tcPr>
          <w:p w:rsidR="00AF5CEC" w:rsidRPr="00A00367" w:rsidRDefault="00AF5CEC" w:rsidP="00AB2C9D">
            <w:pPr>
              <w:rPr>
                <w:b/>
              </w:rPr>
            </w:pPr>
            <w:r>
              <w:rPr>
                <w:b/>
              </w:rPr>
              <w:t>Logging group</w:t>
            </w:r>
          </w:p>
        </w:tc>
        <w:tc>
          <w:tcPr>
            <w:tcW w:w="6100" w:type="dxa"/>
            <w:shd w:val="clear" w:color="auto" w:fill="333333"/>
          </w:tcPr>
          <w:p w:rsidR="00AF5CEC" w:rsidRPr="00A00367" w:rsidRDefault="00AF5CEC" w:rsidP="00AB2C9D">
            <w:pPr>
              <w:rPr>
                <w:b/>
              </w:rPr>
            </w:pPr>
            <w:r>
              <w:rPr>
                <w:b/>
              </w:rPr>
              <w:t>Explanation</w:t>
            </w:r>
          </w:p>
        </w:tc>
      </w:tr>
      <w:tr w:rsidR="00AF5CEC" w:rsidRPr="000F200F" w:rsidTr="00AB2C9D">
        <w:tc>
          <w:tcPr>
            <w:tcW w:w="3080" w:type="dxa"/>
            <w:shd w:val="clear" w:color="auto" w:fill="auto"/>
          </w:tcPr>
          <w:p w:rsidR="00AF5CEC" w:rsidRPr="002C5A3C" w:rsidRDefault="00AF5CEC" w:rsidP="00AB2C9D">
            <w:r>
              <w:t>All Alarms</w:t>
            </w:r>
          </w:p>
        </w:tc>
        <w:tc>
          <w:tcPr>
            <w:tcW w:w="6100" w:type="dxa"/>
            <w:shd w:val="clear" w:color="auto" w:fill="auto"/>
          </w:tcPr>
          <w:p w:rsidR="00AF5CEC" w:rsidRPr="00CA0364" w:rsidRDefault="00AF5CEC" w:rsidP="00AB2C9D">
            <w:pPr>
              <w:rPr>
                <w:lang w:val="en-US"/>
              </w:rPr>
            </w:pPr>
            <w:r>
              <w:rPr>
                <w:lang w:val="en-US"/>
              </w:rPr>
              <w:t>Alarms from all stations (even alarms you might not see on this station will be logged)</w:t>
            </w:r>
          </w:p>
        </w:tc>
      </w:tr>
      <w:tr w:rsidR="00AF5CEC" w:rsidRPr="000F200F" w:rsidTr="00AB2C9D">
        <w:tc>
          <w:tcPr>
            <w:tcW w:w="3080" w:type="dxa"/>
            <w:shd w:val="clear" w:color="auto" w:fill="auto"/>
          </w:tcPr>
          <w:p w:rsidR="00AF5CEC" w:rsidRPr="002C5A3C" w:rsidRDefault="00AF5CEC" w:rsidP="00AB2C9D">
            <w:r>
              <w:t>Alarms</w:t>
            </w:r>
          </w:p>
        </w:tc>
        <w:tc>
          <w:tcPr>
            <w:tcW w:w="6100" w:type="dxa"/>
            <w:shd w:val="clear" w:color="auto" w:fill="auto"/>
          </w:tcPr>
          <w:p w:rsidR="00AF5CEC" w:rsidRPr="00CA0364" w:rsidRDefault="00AF5CEC" w:rsidP="00AB2C9D">
            <w:pPr>
              <w:rPr>
                <w:lang w:val="en-US"/>
              </w:rPr>
            </w:pPr>
            <w:r>
              <w:rPr>
                <w:lang w:val="en-US"/>
              </w:rPr>
              <w:t>All alarms from this station (all alarms that are visible on this station will be logged)</w:t>
            </w:r>
          </w:p>
        </w:tc>
      </w:tr>
      <w:tr w:rsidR="00AF5CEC" w:rsidRPr="000F200F" w:rsidTr="00AB2C9D">
        <w:tc>
          <w:tcPr>
            <w:tcW w:w="3080" w:type="dxa"/>
            <w:shd w:val="clear" w:color="auto" w:fill="auto"/>
          </w:tcPr>
          <w:p w:rsidR="00AF5CEC" w:rsidRPr="002C5A3C" w:rsidRDefault="00AF5CEC" w:rsidP="00AB2C9D">
            <w:r>
              <w:t>Serial</w:t>
            </w:r>
          </w:p>
        </w:tc>
        <w:tc>
          <w:tcPr>
            <w:tcW w:w="6100" w:type="dxa"/>
            <w:shd w:val="clear" w:color="auto" w:fill="auto"/>
          </w:tcPr>
          <w:p w:rsidR="00AF5CEC" w:rsidRPr="00CA0364" w:rsidRDefault="00AF5CEC" w:rsidP="00AB2C9D">
            <w:pPr>
              <w:rPr>
                <w:lang w:val="en-US"/>
              </w:rPr>
            </w:pPr>
            <w:r>
              <w:rPr>
                <w:lang w:val="en-US"/>
              </w:rPr>
              <w:t>All serial information available on this station will be logged (initializing, finalizing and errors)</w:t>
            </w:r>
          </w:p>
        </w:tc>
      </w:tr>
      <w:tr w:rsidR="00AF5CEC" w:rsidRPr="000F200F" w:rsidTr="00AB2C9D">
        <w:tc>
          <w:tcPr>
            <w:tcW w:w="3080" w:type="dxa"/>
            <w:shd w:val="clear" w:color="auto" w:fill="auto"/>
          </w:tcPr>
          <w:p w:rsidR="00AF5CEC" w:rsidRPr="002C5A3C" w:rsidRDefault="00AF5CEC" w:rsidP="00AB2C9D">
            <w:r>
              <w:t>Network</w:t>
            </w:r>
          </w:p>
        </w:tc>
        <w:tc>
          <w:tcPr>
            <w:tcW w:w="6100" w:type="dxa"/>
            <w:shd w:val="clear" w:color="auto" w:fill="auto"/>
          </w:tcPr>
          <w:p w:rsidR="00AF5CEC" w:rsidRPr="00CA0364" w:rsidRDefault="00AF5CEC" w:rsidP="00AB2C9D">
            <w:pPr>
              <w:rPr>
                <w:lang w:val="en-US"/>
              </w:rPr>
            </w:pPr>
            <w:r>
              <w:rPr>
                <w:lang w:val="en-US"/>
              </w:rPr>
              <w:t>All network information available on this station will be logged (Connecting, conn. Failed and errors)</w:t>
            </w:r>
          </w:p>
        </w:tc>
      </w:tr>
      <w:tr w:rsidR="00AF5CEC" w:rsidRPr="002C5A3C" w:rsidTr="00AB2C9D">
        <w:tc>
          <w:tcPr>
            <w:tcW w:w="3080" w:type="dxa"/>
            <w:shd w:val="clear" w:color="auto" w:fill="auto"/>
          </w:tcPr>
          <w:p w:rsidR="00AF5CEC" w:rsidRPr="002C5A3C" w:rsidRDefault="00AF5CEC" w:rsidP="00AB2C9D">
            <w:r>
              <w:t>Switching</w:t>
            </w:r>
          </w:p>
        </w:tc>
        <w:tc>
          <w:tcPr>
            <w:tcW w:w="6100" w:type="dxa"/>
            <w:shd w:val="clear" w:color="auto" w:fill="auto"/>
          </w:tcPr>
          <w:p w:rsidR="00AF5CEC" w:rsidRPr="002C5A3C" w:rsidRDefault="00AF5CEC" w:rsidP="00AB2C9D">
            <w:r>
              <w:t>All system, network and program switching</w:t>
            </w:r>
          </w:p>
        </w:tc>
      </w:tr>
      <w:tr w:rsidR="00AF5CEC" w:rsidRPr="000F200F" w:rsidTr="00AB2C9D">
        <w:tc>
          <w:tcPr>
            <w:tcW w:w="3080" w:type="dxa"/>
            <w:shd w:val="clear" w:color="auto" w:fill="auto"/>
          </w:tcPr>
          <w:p w:rsidR="00AF5CEC" w:rsidRPr="002C5A3C" w:rsidRDefault="00AF5CEC" w:rsidP="00AB2C9D">
            <w:r>
              <w:t>System</w:t>
            </w:r>
          </w:p>
        </w:tc>
        <w:tc>
          <w:tcPr>
            <w:tcW w:w="6100" w:type="dxa"/>
            <w:shd w:val="clear" w:color="auto" w:fill="auto"/>
          </w:tcPr>
          <w:p w:rsidR="00AF5CEC" w:rsidRPr="00CA0364" w:rsidRDefault="00AF5CEC" w:rsidP="00AB2C9D">
            <w:pPr>
              <w:rPr>
                <w:lang w:val="en-US"/>
              </w:rPr>
            </w:pPr>
            <w:r>
              <w:rPr>
                <w:lang w:val="en-US"/>
              </w:rPr>
              <w:t>All process information and errors</w:t>
            </w:r>
          </w:p>
        </w:tc>
      </w:tr>
    </w:tbl>
    <w:p w:rsidR="00AF5CEC" w:rsidRDefault="00AF5CEC" w:rsidP="00AF5CEC">
      <w:pPr>
        <w:pStyle w:val="Onderschrift"/>
      </w:pPr>
      <w:bookmarkStart w:id="4" w:name="_Toc400106257"/>
      <w:r>
        <w:t xml:space="preserve">Table </w:t>
      </w:r>
      <w:r>
        <w:fldChar w:fldCharType="begin"/>
      </w:r>
      <w:r>
        <w:instrText xml:space="preserve"> SEQ Table \* ARABIC </w:instrText>
      </w:r>
      <w:r>
        <w:fldChar w:fldCharType="separate"/>
      </w:r>
      <w:r>
        <w:rPr>
          <w:noProof/>
        </w:rPr>
        <w:t>2</w:t>
      </w:r>
      <w:r>
        <w:fldChar w:fldCharType="end"/>
      </w:r>
      <w:r>
        <w:t>: Logging groups</w:t>
      </w:r>
      <w:bookmarkEnd w:id="4"/>
    </w:p>
    <w:p w:rsidR="00AF5CEC" w:rsidRDefault="00AF5CEC" w:rsidP="00AF5CEC">
      <w:pPr>
        <w:pStyle w:val="Text"/>
        <w:rPr>
          <w:rFonts w:cs="Calibri"/>
          <w:color w:val="000000"/>
        </w:rPr>
      </w:pPr>
    </w:p>
    <w:p w:rsidR="00AF5CEC" w:rsidRDefault="00AF5CEC" w:rsidP="00AF5CEC">
      <w:pPr>
        <w:pStyle w:val="Text"/>
        <w:rPr>
          <w:rFonts w:cs="Calibri"/>
          <w:color w:val="000000"/>
        </w:rPr>
      </w:pPr>
    </w:p>
    <w:p w:rsidR="00AF5CEC" w:rsidRDefault="00AF5CEC" w:rsidP="00AF5CEC">
      <w:pPr>
        <w:pStyle w:val="Text"/>
        <w:rPr>
          <w:rFonts w:cs="Calibri"/>
          <w:color w:val="000000"/>
        </w:rPr>
      </w:pPr>
    </w:p>
    <w:p w:rsidR="00AF5CEC" w:rsidRDefault="00AF5CEC" w:rsidP="00AF5CEC">
      <w:pPr>
        <w:pStyle w:val="Text"/>
        <w:rPr>
          <w:rFonts w:cs="Calibri"/>
          <w:color w:val="000000"/>
        </w:rPr>
      </w:pPr>
    </w:p>
    <w:p w:rsidR="00AF5CEC" w:rsidRDefault="00AF5CEC" w:rsidP="00AF5CEC">
      <w:pPr>
        <w:pStyle w:val="Text"/>
        <w:rPr>
          <w:rFonts w:cs="Calibri"/>
          <w:color w:val="000000"/>
        </w:rPr>
      </w:pPr>
    </w:p>
    <w:p w:rsidR="00AF5CEC" w:rsidRDefault="00AF5CEC" w:rsidP="00AF5CEC">
      <w:pPr>
        <w:pStyle w:val="Text"/>
        <w:rPr>
          <w:rFonts w:cs="Calibri"/>
          <w:color w:val="000000"/>
        </w:rPr>
      </w:pPr>
    </w:p>
    <w:p w:rsidR="00AF5CEC" w:rsidRDefault="00AF5CEC" w:rsidP="00AF5CEC">
      <w:pPr>
        <w:pStyle w:val="Text"/>
        <w:rPr>
          <w:rFonts w:cs="Calibri"/>
          <w:color w:val="000000"/>
        </w:rPr>
      </w:pPr>
    </w:p>
    <w:p w:rsidR="00AF5CEC" w:rsidRDefault="00AF5CEC" w:rsidP="00AF5CEC">
      <w:pPr>
        <w:pStyle w:val="Text"/>
        <w:rPr>
          <w:rFonts w:cs="Calibri"/>
          <w:color w:val="000000"/>
        </w:rPr>
      </w:pPr>
    </w:p>
    <w:p w:rsidR="00AF5CEC" w:rsidRDefault="00AF5CEC" w:rsidP="00AF5CEC">
      <w:pPr>
        <w:pStyle w:val="Text"/>
        <w:rPr>
          <w:rFonts w:cs="Calibri"/>
          <w:color w:val="000000"/>
        </w:rPr>
      </w:pPr>
    </w:p>
    <w:p w:rsidR="00AF5CEC" w:rsidRDefault="00AF5CEC" w:rsidP="00AF5CEC">
      <w:pPr>
        <w:pStyle w:val="Text"/>
        <w:rPr>
          <w:rFonts w:cs="Calibri"/>
          <w:color w:val="000000"/>
        </w:rPr>
      </w:pPr>
    </w:p>
    <w:p w:rsidR="00AF5CEC" w:rsidRDefault="00AF5CEC" w:rsidP="00AF5CEC">
      <w:pPr>
        <w:pStyle w:val="Text"/>
        <w:rPr>
          <w:rFonts w:cs="Calibri"/>
          <w:color w:val="000000"/>
        </w:rPr>
      </w:pPr>
    </w:p>
    <w:p w:rsidR="00AF5CEC" w:rsidRDefault="00AF5CEC" w:rsidP="00AF5CEC">
      <w:pPr>
        <w:pStyle w:val="Text"/>
        <w:rPr>
          <w:rFonts w:cs="Calibri"/>
          <w:color w:val="000000"/>
        </w:rPr>
      </w:pPr>
    </w:p>
    <w:p w:rsidR="00AF5CEC" w:rsidRDefault="00AF5CEC" w:rsidP="00AF5CEC">
      <w:pPr>
        <w:pStyle w:val="Text"/>
        <w:rPr>
          <w:rFonts w:cs="Calibri"/>
          <w:color w:val="000000"/>
        </w:rPr>
      </w:pPr>
    </w:p>
    <w:p w:rsidR="00AF5CEC" w:rsidRDefault="00AF5CEC" w:rsidP="00AF5CEC">
      <w:pPr>
        <w:pStyle w:val="Text"/>
        <w:rPr>
          <w:rFonts w:cs="Calibri"/>
          <w:color w:val="000000"/>
        </w:rPr>
      </w:pPr>
    </w:p>
    <w:p w:rsidR="00AF5CEC" w:rsidRDefault="00AF5CEC" w:rsidP="00AF5CEC">
      <w:pPr>
        <w:pStyle w:val="Text"/>
        <w:rPr>
          <w:rFonts w:cs="Calibri"/>
          <w:color w:val="000000"/>
        </w:rPr>
      </w:pPr>
    </w:p>
    <w:p w:rsidR="00AF5CEC" w:rsidRDefault="00AF5CEC" w:rsidP="00AF5CEC">
      <w:pPr>
        <w:pStyle w:val="Text"/>
        <w:rPr>
          <w:rFonts w:cs="Calibri"/>
          <w:color w:val="000000"/>
        </w:rPr>
      </w:pPr>
    </w:p>
    <w:p w:rsidR="00AF5CEC" w:rsidRDefault="00AF5CEC" w:rsidP="00AF5CEC">
      <w:pPr>
        <w:pStyle w:val="Text"/>
        <w:rPr>
          <w:rFonts w:cs="Calibri"/>
          <w:color w:val="000000"/>
        </w:rPr>
      </w:pPr>
    </w:p>
    <w:p w:rsidR="00AF5CEC" w:rsidRDefault="00AF5CEC" w:rsidP="00AF5CEC">
      <w:pPr>
        <w:pStyle w:val="Text"/>
        <w:rPr>
          <w:rFonts w:cs="Calibri"/>
          <w:color w:val="000000"/>
        </w:rPr>
      </w:pPr>
    </w:p>
    <w:p w:rsidR="00AF5CEC" w:rsidRDefault="00AF5CEC" w:rsidP="00AF5CEC">
      <w:pPr>
        <w:pStyle w:val="Heading4"/>
      </w:pPr>
      <w:bookmarkStart w:id="5" w:name="_Toc400106163"/>
      <w:r>
        <w:t>Logbook appearance</w:t>
      </w:r>
      <w:bookmarkEnd w:id="5"/>
    </w:p>
    <w:p w:rsidR="00AF5CEC" w:rsidRPr="009B3C0F" w:rsidRDefault="00AF5CEC" w:rsidP="00AF5CEC"/>
    <w:p w:rsidR="00AF5CEC" w:rsidRDefault="00AF5CEC" w:rsidP="00AF5CEC">
      <w:pPr>
        <w:pStyle w:val="Text"/>
        <w:rPr>
          <w:rFonts w:cs="Calibri"/>
          <w:color w:val="000000"/>
        </w:rPr>
      </w:pPr>
      <w:r>
        <w:rPr>
          <w:rFonts w:cs="Calibri"/>
          <w:color w:val="000000"/>
        </w:rPr>
        <w:lastRenderedPageBreak/>
        <w:t xml:space="preserve">All identical log entries that appear at the same time will be interconnected as shown in the following figure (see </w:t>
      </w:r>
      <w:r>
        <w:rPr>
          <w:rFonts w:cs="Calibri"/>
          <w:color w:val="000000"/>
        </w:rPr>
        <w:fldChar w:fldCharType="begin"/>
      </w:r>
      <w:r>
        <w:rPr>
          <w:rFonts w:cs="Calibri"/>
          <w:color w:val="000000"/>
        </w:rPr>
        <w:instrText xml:space="preserve"> REF _Ref398726838 \h </w:instrText>
      </w:r>
      <w:r>
        <w:rPr>
          <w:rFonts w:cs="Calibri"/>
          <w:color w:val="000000"/>
        </w:rPr>
      </w:r>
      <w:r>
        <w:rPr>
          <w:rFonts w:cs="Calibri"/>
          <w:color w:val="000000"/>
        </w:rPr>
        <w:fldChar w:fldCharType="separate"/>
      </w:r>
      <w:r>
        <w:t xml:space="preserve">Figure </w:t>
      </w:r>
      <w:r>
        <w:rPr>
          <w:noProof/>
        </w:rPr>
        <w:t>1</w:t>
      </w:r>
      <w:r>
        <w:noBreakHyphen/>
      </w:r>
      <w:r>
        <w:rPr>
          <w:noProof/>
        </w:rPr>
        <w:t>10</w:t>
      </w:r>
      <w:r>
        <w:rPr>
          <w:rFonts w:cs="Calibri"/>
          <w:color w:val="000000"/>
        </w:rPr>
        <w:fldChar w:fldCharType="end"/>
      </w:r>
      <w:r>
        <w:rPr>
          <w:rFonts w:cs="Calibri"/>
          <w:color w:val="000000"/>
        </w:rPr>
        <w:t>).</w:t>
      </w:r>
    </w:p>
    <w:p w:rsidR="00AF5CEC" w:rsidRDefault="00AF5CEC" w:rsidP="00AF5CEC">
      <w:pPr>
        <w:pStyle w:val="Text"/>
        <w:rPr>
          <w:rFonts w:cs="Calibri"/>
          <w:color w:val="000000"/>
        </w:rPr>
      </w:pPr>
    </w:p>
    <w:p w:rsidR="00AF5CEC" w:rsidRDefault="00AF5CEC" w:rsidP="00AF5CEC">
      <w:pPr>
        <w:pStyle w:val="Text"/>
        <w:rPr>
          <w:rFonts w:cs="Calibri"/>
          <w:color w:val="000000"/>
          <w:lang w:val="en-US"/>
        </w:rPr>
      </w:pPr>
      <w:r>
        <w:rPr>
          <w:noProof/>
          <w:lang w:val="nl-NL" w:eastAsia="nl-NL"/>
        </w:rPr>
        <w:drawing>
          <wp:inline distT="0" distB="0" distL="0" distR="0" wp14:anchorId="6446A20A" wp14:editId="04C34409">
            <wp:extent cx="3219450" cy="2668912"/>
            <wp:effectExtent l="0" t="0" r="0" b="0"/>
            <wp:docPr id="115" name="Afbeelding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219450" cy="2668912"/>
                    </a:xfrm>
                    <a:prstGeom prst="rect">
                      <a:avLst/>
                    </a:prstGeom>
                  </pic:spPr>
                </pic:pic>
              </a:graphicData>
            </a:graphic>
          </wp:inline>
        </w:drawing>
      </w:r>
      <w:r>
        <w:rPr>
          <w:rFonts w:cs="Calibri"/>
          <w:color w:val="000000"/>
          <w:lang w:val="en-US"/>
        </w:rPr>
        <w:t xml:space="preserve"> </w:t>
      </w:r>
    </w:p>
    <w:p w:rsidR="00AF5CEC" w:rsidRDefault="00AF5CEC" w:rsidP="00AF5CEC">
      <w:pPr>
        <w:pStyle w:val="Onderschrift"/>
      </w:pPr>
      <w:bookmarkStart w:id="6" w:name="_Ref398726838"/>
      <w:bookmarkStart w:id="7" w:name="_Toc400106212"/>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10</w:t>
      </w:r>
      <w:r>
        <w:fldChar w:fldCharType="end"/>
      </w:r>
      <w:bookmarkEnd w:id="6"/>
      <w:r>
        <w:t>: interconnecting log appearance</w:t>
      </w:r>
      <w:bookmarkEnd w:id="7"/>
    </w:p>
    <w:p w:rsidR="00AF5CEC" w:rsidRDefault="00AF5CEC" w:rsidP="00AF5CEC">
      <w:pPr>
        <w:pStyle w:val="Heading4"/>
      </w:pPr>
      <w:bookmarkStart w:id="8" w:name="_Toc400106164"/>
      <w:r>
        <w:t>Logbook status indication</w:t>
      </w:r>
      <w:bookmarkEnd w:id="8"/>
    </w:p>
    <w:p w:rsidR="00AF5CEC" w:rsidRDefault="00AF5CEC" w:rsidP="00AF5CEC"/>
    <w:p w:rsidR="00AF5CEC" w:rsidRDefault="00AF5CEC" w:rsidP="00AF5CEC">
      <w:r>
        <w:t xml:space="preserve">All entries will have an explanatory status indication at the end of the entry line. This will give an indication about the reason that the indication is in the logbook (see </w:t>
      </w:r>
      <w:r>
        <w:fldChar w:fldCharType="begin"/>
      </w:r>
      <w:r>
        <w:instrText xml:space="preserve"> REF _Ref398726559 \h </w:instrText>
      </w:r>
      <w:r>
        <w:fldChar w:fldCharType="separate"/>
      </w:r>
      <w:r>
        <w:t xml:space="preserve">Figure </w:t>
      </w:r>
      <w:r>
        <w:rPr>
          <w:noProof/>
        </w:rPr>
        <w:t>1</w:t>
      </w:r>
      <w:r>
        <w:noBreakHyphen/>
      </w:r>
      <w:r>
        <w:rPr>
          <w:noProof/>
        </w:rPr>
        <w:t>11</w:t>
      </w:r>
      <w:r>
        <w:fldChar w:fldCharType="end"/>
      </w:r>
      <w:r>
        <w:t>).</w:t>
      </w:r>
    </w:p>
    <w:p w:rsidR="00AF5CEC" w:rsidRDefault="00AF5CEC" w:rsidP="00AF5CEC"/>
    <w:p w:rsidR="00AF5CEC" w:rsidRDefault="00AF5CEC" w:rsidP="00AF5CEC">
      <w:r>
        <w:rPr>
          <w:noProof/>
          <w:lang w:val="nl-NL" w:eastAsia="nl-NL"/>
        </w:rPr>
        <w:drawing>
          <wp:inline distT="0" distB="0" distL="0" distR="0" wp14:anchorId="5215BE0C" wp14:editId="2728B5B7">
            <wp:extent cx="4476750" cy="3047484"/>
            <wp:effectExtent l="0" t="0" r="0" b="635"/>
            <wp:docPr id="116" name="Afbeelding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4475270" cy="3046477"/>
                    </a:xfrm>
                    <a:prstGeom prst="rect">
                      <a:avLst/>
                    </a:prstGeom>
                  </pic:spPr>
                </pic:pic>
              </a:graphicData>
            </a:graphic>
          </wp:inline>
        </w:drawing>
      </w:r>
    </w:p>
    <w:p w:rsidR="00AF5CEC" w:rsidRDefault="00AF5CEC" w:rsidP="00AF5CEC">
      <w:pPr>
        <w:pStyle w:val="Onderschrift"/>
      </w:pPr>
      <w:bookmarkStart w:id="9" w:name="_Ref398726559"/>
      <w:bookmarkStart w:id="10" w:name="_Toc400106213"/>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11</w:t>
      </w:r>
      <w:r>
        <w:fldChar w:fldCharType="end"/>
      </w:r>
      <w:bookmarkEnd w:id="9"/>
      <w:r>
        <w:t>: Status indication log-entries</w:t>
      </w:r>
      <w:bookmarkEnd w:id="10"/>
    </w:p>
    <w:p w:rsidR="00AF5CEC" w:rsidRDefault="00AF5CEC" w:rsidP="00AF5CEC"/>
    <w:p w:rsidR="00AF5CEC" w:rsidRDefault="00AF5CEC" w:rsidP="00AF5CEC"/>
    <w:p w:rsidR="00AF5CEC" w:rsidRDefault="00AF5CEC" w:rsidP="00AF5CEC"/>
    <w:p w:rsidR="00AF5CEC" w:rsidRDefault="00AF5CEC" w:rsidP="00AF5CEC"/>
    <w:p w:rsidR="00AF5CEC" w:rsidRDefault="00AF5CEC" w:rsidP="00AF5CEC"/>
    <w:p w:rsidR="00AF5CEC" w:rsidRDefault="00AF5CEC" w:rsidP="00AF5CEC">
      <w:r>
        <w:t xml:space="preserve">When logging alarms, this status indication will also be </w:t>
      </w:r>
      <w:proofErr w:type="spellStart"/>
      <w:r>
        <w:t>colored</w:t>
      </w:r>
      <w:proofErr w:type="spellEnd"/>
      <w:r>
        <w:t>.</w:t>
      </w:r>
    </w:p>
    <w:p w:rsidR="00AF5CEC" w:rsidRDefault="00AF5CEC" w:rsidP="00AF5CEC"/>
    <w:p w:rsidR="00AF5CEC" w:rsidRDefault="00AF5CEC" w:rsidP="00AF5CEC">
      <w:r>
        <w:rPr>
          <w:noProof/>
          <w:lang w:val="nl-NL" w:eastAsia="nl-NL"/>
        </w:rPr>
        <w:lastRenderedPageBreak/>
        <w:drawing>
          <wp:inline distT="0" distB="0" distL="0" distR="0" wp14:anchorId="5FD001C6" wp14:editId="49E0F008">
            <wp:extent cx="4429125" cy="3551870"/>
            <wp:effectExtent l="0" t="0" r="0" b="0"/>
            <wp:docPr id="92" name="Afbeelding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429219" cy="3551946"/>
                    </a:xfrm>
                    <a:prstGeom prst="rect">
                      <a:avLst/>
                    </a:prstGeom>
                  </pic:spPr>
                </pic:pic>
              </a:graphicData>
            </a:graphic>
          </wp:inline>
        </w:drawing>
      </w:r>
    </w:p>
    <w:p w:rsidR="00AF5CEC" w:rsidRDefault="00AF5CEC" w:rsidP="00AF5CEC">
      <w:pPr>
        <w:pStyle w:val="Onderschrift"/>
        <w:rPr>
          <w:lang w:val="nl-NL"/>
        </w:rPr>
      </w:pPr>
      <w:bookmarkStart w:id="11" w:name="_Toc400106214"/>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12</w:t>
      </w:r>
      <w:r>
        <w:fldChar w:fldCharType="end"/>
      </w:r>
      <w:r>
        <w:t xml:space="preserve">: </w:t>
      </w:r>
      <w:proofErr w:type="spellStart"/>
      <w:r>
        <w:rPr>
          <w:lang w:val="nl-NL"/>
        </w:rPr>
        <w:t>Logging</w:t>
      </w:r>
      <w:proofErr w:type="spellEnd"/>
      <w:r>
        <w:rPr>
          <w:lang w:val="nl-NL"/>
        </w:rPr>
        <w:t xml:space="preserve"> colors</w:t>
      </w:r>
      <w:bookmarkEnd w:id="11"/>
    </w:p>
    <w:p w:rsidR="00AF5CEC" w:rsidRPr="00D47797" w:rsidRDefault="00AF5CEC" w:rsidP="00AF5CEC"/>
    <w:tbl>
      <w:tblPr>
        <w:tblW w:w="0" w:type="auto"/>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3007"/>
        <w:gridCol w:w="5937"/>
      </w:tblGrid>
      <w:tr w:rsidR="00AF5CEC" w:rsidRPr="00A00367" w:rsidTr="00AB2C9D">
        <w:tc>
          <w:tcPr>
            <w:tcW w:w="3080" w:type="dxa"/>
            <w:shd w:val="clear" w:color="auto" w:fill="333333"/>
          </w:tcPr>
          <w:p w:rsidR="00AF5CEC" w:rsidRPr="00A00367" w:rsidRDefault="00AF5CEC" w:rsidP="00AB2C9D">
            <w:pPr>
              <w:rPr>
                <w:b/>
              </w:rPr>
            </w:pPr>
            <w:r>
              <w:rPr>
                <w:b/>
              </w:rPr>
              <w:t>Logging colors</w:t>
            </w:r>
          </w:p>
        </w:tc>
        <w:tc>
          <w:tcPr>
            <w:tcW w:w="6100" w:type="dxa"/>
            <w:shd w:val="clear" w:color="auto" w:fill="333333"/>
          </w:tcPr>
          <w:p w:rsidR="00AF5CEC" w:rsidRPr="00A00367" w:rsidRDefault="00AF5CEC" w:rsidP="00AB2C9D">
            <w:pPr>
              <w:rPr>
                <w:b/>
              </w:rPr>
            </w:pPr>
            <w:r>
              <w:rPr>
                <w:b/>
              </w:rPr>
              <w:t>Explanation</w:t>
            </w:r>
          </w:p>
        </w:tc>
      </w:tr>
      <w:tr w:rsidR="00AF5CEC" w:rsidRPr="000F200F" w:rsidTr="00AB2C9D">
        <w:tc>
          <w:tcPr>
            <w:tcW w:w="3080" w:type="dxa"/>
            <w:shd w:val="clear" w:color="auto" w:fill="auto"/>
          </w:tcPr>
          <w:p w:rsidR="00AF5CEC" w:rsidRPr="002C5A3C" w:rsidRDefault="00AF5CEC" w:rsidP="00AB2C9D">
            <w:r>
              <w:t>Grey</w:t>
            </w:r>
          </w:p>
        </w:tc>
        <w:tc>
          <w:tcPr>
            <w:tcW w:w="6100" w:type="dxa"/>
            <w:shd w:val="clear" w:color="auto" w:fill="auto"/>
          </w:tcPr>
          <w:p w:rsidR="00AF5CEC" w:rsidRPr="00CA0364" w:rsidRDefault="00AF5CEC" w:rsidP="00AB2C9D">
            <w:pPr>
              <w:rPr>
                <w:lang w:val="en-US"/>
              </w:rPr>
            </w:pPr>
            <w:r>
              <w:rPr>
                <w:lang w:val="en-US"/>
              </w:rPr>
              <w:t>Acknowledged</w:t>
            </w:r>
          </w:p>
        </w:tc>
      </w:tr>
      <w:tr w:rsidR="00AF5CEC" w:rsidRPr="000F200F" w:rsidTr="00AB2C9D">
        <w:tc>
          <w:tcPr>
            <w:tcW w:w="3080" w:type="dxa"/>
            <w:shd w:val="clear" w:color="auto" w:fill="auto"/>
          </w:tcPr>
          <w:p w:rsidR="00AF5CEC" w:rsidRPr="002C5A3C" w:rsidRDefault="00AF5CEC" w:rsidP="00AB2C9D">
            <w:r>
              <w:t>Green</w:t>
            </w:r>
          </w:p>
        </w:tc>
        <w:tc>
          <w:tcPr>
            <w:tcW w:w="6100" w:type="dxa"/>
            <w:shd w:val="clear" w:color="auto" w:fill="auto"/>
          </w:tcPr>
          <w:p w:rsidR="00AF5CEC" w:rsidRPr="00CA0364" w:rsidRDefault="00AF5CEC" w:rsidP="00AB2C9D">
            <w:pPr>
              <w:rPr>
                <w:lang w:val="en-US"/>
              </w:rPr>
            </w:pPr>
            <w:r>
              <w:rPr>
                <w:lang w:val="en-US"/>
              </w:rPr>
              <w:t>Out of alarm or OK</w:t>
            </w:r>
          </w:p>
        </w:tc>
      </w:tr>
      <w:tr w:rsidR="00AF5CEC" w:rsidRPr="000F200F" w:rsidTr="00AB2C9D">
        <w:tc>
          <w:tcPr>
            <w:tcW w:w="3080" w:type="dxa"/>
            <w:shd w:val="clear" w:color="auto" w:fill="auto"/>
          </w:tcPr>
          <w:p w:rsidR="00AF5CEC" w:rsidRPr="002C5A3C" w:rsidRDefault="00AF5CEC" w:rsidP="00AB2C9D">
            <w:r>
              <w:t>Yellow</w:t>
            </w:r>
          </w:p>
        </w:tc>
        <w:tc>
          <w:tcPr>
            <w:tcW w:w="6100" w:type="dxa"/>
            <w:shd w:val="clear" w:color="auto" w:fill="auto"/>
          </w:tcPr>
          <w:p w:rsidR="00AF5CEC" w:rsidRPr="00CA0364" w:rsidRDefault="00AF5CEC" w:rsidP="00AB2C9D">
            <w:pPr>
              <w:rPr>
                <w:lang w:val="en-US"/>
              </w:rPr>
            </w:pPr>
            <w:r>
              <w:rPr>
                <w:lang w:val="en-US"/>
              </w:rPr>
              <w:t>Caution</w:t>
            </w:r>
          </w:p>
        </w:tc>
      </w:tr>
      <w:tr w:rsidR="00AF5CEC" w:rsidRPr="000F200F" w:rsidTr="00AB2C9D">
        <w:tc>
          <w:tcPr>
            <w:tcW w:w="3080" w:type="dxa"/>
            <w:shd w:val="clear" w:color="auto" w:fill="auto"/>
          </w:tcPr>
          <w:p w:rsidR="00AF5CEC" w:rsidRPr="002C5A3C" w:rsidRDefault="00AF5CEC" w:rsidP="00AB2C9D">
            <w:r>
              <w:t>Orange</w:t>
            </w:r>
          </w:p>
        </w:tc>
        <w:tc>
          <w:tcPr>
            <w:tcW w:w="6100" w:type="dxa"/>
            <w:shd w:val="clear" w:color="auto" w:fill="auto"/>
          </w:tcPr>
          <w:p w:rsidR="00AF5CEC" w:rsidRPr="00CA0364" w:rsidRDefault="00AF5CEC" w:rsidP="00AB2C9D">
            <w:pPr>
              <w:rPr>
                <w:lang w:val="en-US"/>
              </w:rPr>
            </w:pPr>
            <w:r>
              <w:rPr>
                <w:lang w:val="en-US"/>
              </w:rPr>
              <w:t>Warning</w:t>
            </w:r>
          </w:p>
        </w:tc>
      </w:tr>
      <w:tr w:rsidR="00AF5CEC" w:rsidRPr="002C5A3C" w:rsidTr="00AB2C9D">
        <w:tc>
          <w:tcPr>
            <w:tcW w:w="3080" w:type="dxa"/>
            <w:shd w:val="clear" w:color="auto" w:fill="auto"/>
          </w:tcPr>
          <w:p w:rsidR="00AF5CEC" w:rsidRPr="002C5A3C" w:rsidRDefault="00AF5CEC" w:rsidP="00AB2C9D">
            <w:r>
              <w:t>Red</w:t>
            </w:r>
          </w:p>
        </w:tc>
        <w:tc>
          <w:tcPr>
            <w:tcW w:w="6100" w:type="dxa"/>
            <w:shd w:val="clear" w:color="auto" w:fill="auto"/>
          </w:tcPr>
          <w:p w:rsidR="00AF5CEC" w:rsidRPr="002C5A3C" w:rsidRDefault="00AF5CEC" w:rsidP="00AB2C9D">
            <w:r>
              <w:t>Critical, Slowdown and Shutdown</w:t>
            </w:r>
          </w:p>
        </w:tc>
      </w:tr>
    </w:tbl>
    <w:p w:rsidR="00AF5CEC" w:rsidRDefault="00AF5CEC" w:rsidP="00AF5CEC">
      <w:pPr>
        <w:pStyle w:val="Onderschrift"/>
        <w:rPr>
          <w:lang w:val="nl-NL"/>
        </w:rPr>
      </w:pPr>
      <w:bookmarkStart w:id="12" w:name="_Toc400106258"/>
      <w:r>
        <w:t xml:space="preserve">Table </w:t>
      </w:r>
      <w:r>
        <w:fldChar w:fldCharType="begin"/>
      </w:r>
      <w:r>
        <w:instrText xml:space="preserve"> SEQ Table \* ARABIC </w:instrText>
      </w:r>
      <w:r>
        <w:fldChar w:fldCharType="separate"/>
      </w:r>
      <w:r>
        <w:rPr>
          <w:noProof/>
        </w:rPr>
        <w:t>3</w:t>
      </w:r>
      <w:r>
        <w:fldChar w:fldCharType="end"/>
      </w:r>
      <w:r>
        <w:rPr>
          <w:lang w:val="nl-NL"/>
        </w:rPr>
        <w:t xml:space="preserve">: </w:t>
      </w:r>
      <w:proofErr w:type="spellStart"/>
      <w:r>
        <w:rPr>
          <w:lang w:val="nl-NL"/>
        </w:rPr>
        <w:t>Logbook</w:t>
      </w:r>
      <w:proofErr w:type="spellEnd"/>
      <w:r>
        <w:rPr>
          <w:lang w:val="nl-NL"/>
        </w:rPr>
        <w:t xml:space="preserve"> colors</w:t>
      </w:r>
      <w:bookmarkEnd w:id="12"/>
    </w:p>
    <w:p w:rsidR="00AF5CEC" w:rsidRPr="009D4A1E" w:rsidRDefault="00AF5CEC" w:rsidP="00AF5CEC">
      <w:pPr>
        <w:pStyle w:val="Heading4"/>
        <w:rPr>
          <w:lang w:val="en-US"/>
        </w:rPr>
      </w:pPr>
      <w:bookmarkStart w:id="13" w:name="_Toc275956034"/>
      <w:bookmarkStart w:id="14" w:name="_Toc400106165"/>
      <w:r w:rsidRPr="009D4A1E">
        <w:rPr>
          <w:lang w:val="en-US"/>
        </w:rPr>
        <w:t xml:space="preserve">Logbook </w:t>
      </w:r>
      <w:bookmarkEnd w:id="13"/>
      <w:r>
        <w:rPr>
          <w:lang w:val="en-US"/>
        </w:rPr>
        <w:t>search bar and buttons</w:t>
      </w:r>
      <w:bookmarkEnd w:id="14"/>
    </w:p>
    <w:p w:rsidR="00AF5CEC" w:rsidRDefault="00AF5CEC" w:rsidP="00AF5CEC">
      <w:pPr>
        <w:pStyle w:val="Text"/>
        <w:rPr>
          <w:lang w:val="en-US"/>
        </w:rPr>
      </w:pPr>
    </w:p>
    <w:p w:rsidR="00AF5CEC" w:rsidRDefault="00AF5CEC" w:rsidP="00AF5CEC">
      <w:pPr>
        <w:rPr>
          <w:rFonts w:cs="Calibri"/>
          <w:lang w:val="en-US"/>
        </w:rPr>
      </w:pPr>
      <w:r>
        <w:rPr>
          <w:rFonts w:cs="Calibri"/>
          <w:lang w:val="en-US"/>
        </w:rPr>
        <w:t xml:space="preserve">At the bottom of the logbook, you will find a search bar and a few buttons (see </w:t>
      </w:r>
      <w:r>
        <w:rPr>
          <w:rFonts w:cs="Calibri"/>
          <w:lang w:val="en-US"/>
        </w:rPr>
        <w:fldChar w:fldCharType="begin"/>
      </w:r>
      <w:r>
        <w:rPr>
          <w:rFonts w:cs="Calibri"/>
          <w:lang w:val="en-US"/>
        </w:rPr>
        <w:instrText xml:space="preserve"> REF _Ref398732366 \h </w:instrText>
      </w:r>
      <w:r>
        <w:rPr>
          <w:rFonts w:cs="Calibri"/>
          <w:lang w:val="en-US"/>
        </w:rPr>
      </w:r>
      <w:r>
        <w:rPr>
          <w:rFonts w:cs="Calibri"/>
          <w:lang w:val="en-US"/>
        </w:rPr>
        <w:fldChar w:fldCharType="separate"/>
      </w:r>
      <w:r>
        <w:t xml:space="preserve">Figure </w:t>
      </w:r>
      <w:r>
        <w:rPr>
          <w:noProof/>
        </w:rPr>
        <w:t>1</w:t>
      </w:r>
      <w:r>
        <w:noBreakHyphen/>
      </w:r>
      <w:r>
        <w:rPr>
          <w:noProof/>
        </w:rPr>
        <w:t>13</w:t>
      </w:r>
      <w:r>
        <w:rPr>
          <w:rFonts w:cs="Calibri"/>
          <w:lang w:val="en-US"/>
        </w:rPr>
        <w:fldChar w:fldCharType="end"/>
      </w:r>
      <w:r>
        <w:rPr>
          <w:rFonts w:cs="Calibri"/>
          <w:lang w:val="en-US"/>
        </w:rPr>
        <w:t xml:space="preserve">). In the search bar, you can click and type the name of the listing you are looking for. After hitting </w:t>
      </w:r>
      <w:r w:rsidRPr="00717E4D">
        <w:rPr>
          <w:rFonts w:cs="Calibri"/>
          <w:i/>
          <w:lang w:val="en-US"/>
        </w:rPr>
        <w:t>Enter</w:t>
      </w:r>
      <w:r>
        <w:rPr>
          <w:rFonts w:cs="Calibri"/>
          <w:lang w:val="en-US"/>
        </w:rPr>
        <w:t xml:space="preserve"> the listing is shown, if available. </w:t>
      </w:r>
    </w:p>
    <w:p w:rsidR="00AF5CEC" w:rsidRDefault="00AF5CEC" w:rsidP="00AF5CEC">
      <w:pPr>
        <w:overflowPunct/>
        <w:autoSpaceDE/>
        <w:autoSpaceDN/>
        <w:adjustRightInd/>
        <w:textAlignment w:val="auto"/>
      </w:pPr>
    </w:p>
    <w:p w:rsidR="00AF5CEC" w:rsidRDefault="00AF5CEC" w:rsidP="00AF5CEC">
      <w:pPr>
        <w:overflowPunct/>
        <w:autoSpaceDE/>
        <w:autoSpaceDN/>
        <w:adjustRightInd/>
        <w:textAlignment w:val="auto"/>
      </w:pPr>
      <w:r>
        <w:rPr>
          <w:noProof/>
          <w:lang w:val="nl-NL" w:eastAsia="nl-NL"/>
        </w:rPr>
        <w:drawing>
          <wp:inline distT="0" distB="0" distL="0" distR="0" wp14:anchorId="55653A59" wp14:editId="277C4133">
            <wp:extent cx="5760720" cy="568968"/>
            <wp:effectExtent l="0" t="0" r="0" b="2540"/>
            <wp:docPr id="114" name="Afbeelding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60720" cy="568968"/>
                    </a:xfrm>
                    <a:prstGeom prst="rect">
                      <a:avLst/>
                    </a:prstGeom>
                  </pic:spPr>
                </pic:pic>
              </a:graphicData>
            </a:graphic>
          </wp:inline>
        </w:drawing>
      </w:r>
    </w:p>
    <w:p w:rsidR="00AF5CEC" w:rsidRDefault="00AF5CEC" w:rsidP="00AF5CEC">
      <w:pPr>
        <w:pStyle w:val="Onderschrift"/>
      </w:pPr>
      <w:bookmarkStart w:id="15" w:name="_Ref398732366"/>
      <w:bookmarkStart w:id="16" w:name="_Toc400106215"/>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13</w:t>
      </w:r>
      <w:r>
        <w:fldChar w:fldCharType="end"/>
      </w:r>
      <w:bookmarkEnd w:id="15"/>
      <w:r>
        <w:t>: Logbook search bar and buttons</w:t>
      </w:r>
      <w:bookmarkEnd w:id="16"/>
    </w:p>
    <w:p w:rsidR="00AF5CEC" w:rsidRDefault="00AF5CEC" w:rsidP="00AF5CEC"/>
    <w:p w:rsidR="00AF5CEC" w:rsidRDefault="00AF5CEC" w:rsidP="00AF5CEC"/>
    <w:p w:rsidR="00AF5CEC" w:rsidRDefault="00AF5CEC" w:rsidP="00AF5CEC"/>
    <w:p w:rsidR="00AF5CEC" w:rsidRDefault="00AF5CEC" w:rsidP="00AF5CEC"/>
    <w:p w:rsidR="00AF5CEC" w:rsidRDefault="00AF5CEC" w:rsidP="00AF5CEC">
      <w:r>
        <w:t xml:space="preserve">If you click on the “From:” or “To:” on the search bar, a new window will appear (see </w:t>
      </w:r>
      <w:r>
        <w:fldChar w:fldCharType="begin"/>
      </w:r>
      <w:r>
        <w:instrText xml:space="preserve"> REF _Ref398733907 \h </w:instrText>
      </w:r>
      <w:r>
        <w:fldChar w:fldCharType="separate"/>
      </w:r>
      <w:r>
        <w:t xml:space="preserve">Figure </w:t>
      </w:r>
      <w:r>
        <w:rPr>
          <w:noProof/>
        </w:rPr>
        <w:t>1</w:t>
      </w:r>
      <w:r>
        <w:noBreakHyphen/>
      </w:r>
      <w:r>
        <w:rPr>
          <w:noProof/>
        </w:rPr>
        <w:t>14</w:t>
      </w:r>
      <w:r>
        <w:fldChar w:fldCharType="end"/>
      </w:r>
      <w:r>
        <w:t>). This window is a fully working calendar from which you can choose a “From” or “To” date. After you have entered the date and pressed the checkmark, the entries that occurred in the entered timeframe are shown.</w:t>
      </w:r>
    </w:p>
    <w:p w:rsidR="00AF5CEC" w:rsidRDefault="00AF5CEC" w:rsidP="00AF5CEC"/>
    <w:p w:rsidR="00AF5CEC" w:rsidRDefault="00AF5CEC" w:rsidP="00AF5CEC">
      <w:r>
        <w:rPr>
          <w:noProof/>
          <w:lang w:val="nl-NL" w:eastAsia="nl-NL"/>
        </w:rPr>
        <w:lastRenderedPageBreak/>
        <w:drawing>
          <wp:inline distT="0" distB="0" distL="0" distR="0" wp14:anchorId="64DE0556" wp14:editId="347F9CD8">
            <wp:extent cx="3009900" cy="1943100"/>
            <wp:effectExtent l="0" t="0" r="0" b="0"/>
            <wp:docPr id="118" name="Afbeelding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009900" cy="1943100"/>
                    </a:xfrm>
                    <a:prstGeom prst="rect">
                      <a:avLst/>
                    </a:prstGeom>
                  </pic:spPr>
                </pic:pic>
              </a:graphicData>
            </a:graphic>
          </wp:inline>
        </w:drawing>
      </w:r>
    </w:p>
    <w:p w:rsidR="00AF5CEC" w:rsidRDefault="00AF5CEC" w:rsidP="00AF5CEC">
      <w:pPr>
        <w:pStyle w:val="Onderschrift"/>
      </w:pPr>
      <w:bookmarkStart w:id="17" w:name="_Ref398733907"/>
      <w:bookmarkStart w:id="18" w:name="_Toc400106216"/>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14</w:t>
      </w:r>
      <w:r>
        <w:fldChar w:fldCharType="end"/>
      </w:r>
      <w:bookmarkEnd w:id="17"/>
      <w:r>
        <w:t>: Search calendar</w:t>
      </w:r>
      <w:bookmarkEnd w:id="18"/>
    </w:p>
    <w:p w:rsidR="00AF5CEC" w:rsidRDefault="00AF5CEC" w:rsidP="00AF5CEC">
      <w:r>
        <w:rPr>
          <w:noProof/>
          <w:lang w:val="nl-NL" w:eastAsia="nl-NL"/>
        </w:rPr>
        <w:drawing>
          <wp:inline distT="0" distB="0" distL="0" distR="0" wp14:anchorId="1EB0D3D3" wp14:editId="00BB18D4">
            <wp:extent cx="1171575" cy="8763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171575" cy="876300"/>
                    </a:xfrm>
                    <a:prstGeom prst="rect">
                      <a:avLst/>
                    </a:prstGeom>
                  </pic:spPr>
                </pic:pic>
              </a:graphicData>
            </a:graphic>
          </wp:inline>
        </w:drawing>
      </w:r>
    </w:p>
    <w:p w:rsidR="00AF5CEC" w:rsidRDefault="00AF5CEC" w:rsidP="00AF5CEC">
      <w:pPr>
        <w:pStyle w:val="Onderschrift"/>
      </w:pPr>
      <w:bookmarkStart w:id="19" w:name="_Toc400106217"/>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15</w:t>
      </w:r>
      <w:r>
        <w:fldChar w:fldCharType="end"/>
      </w:r>
      <w:r>
        <w:t>: Print button</w:t>
      </w:r>
      <w:bookmarkEnd w:id="19"/>
    </w:p>
    <w:p w:rsidR="00AF5CEC" w:rsidRDefault="00AF5CEC" w:rsidP="00AF5CEC">
      <w:r>
        <w:rPr>
          <w:noProof/>
          <w:lang w:val="nl-NL" w:eastAsia="nl-NL"/>
        </w:rPr>
        <w:drawing>
          <wp:inline distT="0" distB="0" distL="0" distR="0" wp14:anchorId="24B421F5" wp14:editId="2D877C8A">
            <wp:extent cx="3667125" cy="9048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667125" cy="904875"/>
                    </a:xfrm>
                    <a:prstGeom prst="rect">
                      <a:avLst/>
                    </a:prstGeom>
                  </pic:spPr>
                </pic:pic>
              </a:graphicData>
            </a:graphic>
          </wp:inline>
        </w:drawing>
      </w:r>
    </w:p>
    <w:p w:rsidR="00AF5CEC" w:rsidRDefault="00AF5CEC" w:rsidP="00AF5CEC">
      <w:pPr>
        <w:pStyle w:val="Onderschrift"/>
      </w:pPr>
      <w:bookmarkStart w:id="20" w:name="_Toc400106218"/>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16</w:t>
      </w:r>
      <w:r>
        <w:fldChar w:fldCharType="end"/>
      </w:r>
      <w:r>
        <w:t>: Up- down buttons</w:t>
      </w:r>
      <w:bookmarkEnd w:id="20"/>
    </w:p>
    <w:p w:rsidR="001D66BB" w:rsidRPr="00AF5CEC" w:rsidRDefault="00AF5CEC" w:rsidP="00AF5CEC">
      <w:r>
        <w:t xml:space="preserve">If you click the </w:t>
      </w:r>
      <w:r w:rsidRPr="00907925">
        <w:rPr>
          <w:i/>
        </w:rPr>
        <w:t>Print</w:t>
      </w:r>
      <w:r>
        <w:t xml:space="preserve"> button, you can print the logbook (if a printer is available). With the </w:t>
      </w:r>
      <w:r>
        <w:rPr>
          <w:i/>
        </w:rPr>
        <w:t xml:space="preserve">Up </w:t>
      </w:r>
      <w:r>
        <w:t xml:space="preserve">&amp; </w:t>
      </w:r>
      <w:proofErr w:type="gramStart"/>
      <w:r>
        <w:rPr>
          <w:i/>
        </w:rPr>
        <w:t>Down</w:t>
      </w:r>
      <w:proofErr w:type="gramEnd"/>
      <w:r>
        <w:t xml:space="preserve"> buttons you can scroll to the top, up or down.</w:t>
      </w:r>
      <w:bookmarkStart w:id="21" w:name="_GoBack"/>
      <w:bookmarkEnd w:id="21"/>
    </w:p>
    <w:sectPr w:rsidR="001D66BB" w:rsidRPr="00AF5C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50F1709E"/>
    <w:multiLevelType w:val="hybridMultilevel"/>
    <w:tmpl w:val="FB3E41A6"/>
    <w:lvl w:ilvl="0" w:tplc="FFFFFFF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3DF"/>
    <w:rsid w:val="000800BE"/>
    <w:rsid w:val="001D66BB"/>
    <w:rsid w:val="00AB53DF"/>
    <w:rsid w:val="00AF5CEC"/>
    <w:rsid w:val="00D33DAB"/>
    <w:rsid w:val="00EE5171"/>
    <w:rsid w:val="00FB26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B7550-702A-4260-815F-F97BA661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3DF"/>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AB53DF"/>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AB53DF"/>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AB53DF"/>
    <w:pPr>
      <w:numPr>
        <w:ilvl w:val="2"/>
      </w:numPr>
      <w:outlineLvl w:val="2"/>
    </w:pPr>
    <w:rPr>
      <w:sz w:val="22"/>
    </w:rPr>
  </w:style>
  <w:style w:type="paragraph" w:styleId="Heading4">
    <w:name w:val="heading 4"/>
    <w:aliases w:val="Sectie"/>
    <w:basedOn w:val="Heading2"/>
    <w:next w:val="Normal"/>
    <w:link w:val="Heading4Char"/>
    <w:qFormat/>
    <w:rsid w:val="00AB53DF"/>
    <w:pPr>
      <w:numPr>
        <w:ilvl w:val="3"/>
      </w:numPr>
      <w:outlineLvl w:val="3"/>
    </w:pPr>
  </w:style>
  <w:style w:type="paragraph" w:styleId="Heading5">
    <w:name w:val="heading 5"/>
    <w:aliases w:val="Onderdeel"/>
    <w:basedOn w:val="Heading2"/>
    <w:next w:val="Normal"/>
    <w:link w:val="Heading5Char"/>
    <w:qFormat/>
    <w:rsid w:val="00AB53DF"/>
    <w:pPr>
      <w:numPr>
        <w:ilvl w:val="4"/>
      </w:numPr>
      <w:outlineLvl w:val="4"/>
    </w:pPr>
  </w:style>
  <w:style w:type="paragraph" w:styleId="Heading6">
    <w:name w:val="heading 6"/>
    <w:basedOn w:val="Heading2"/>
    <w:next w:val="Normal"/>
    <w:link w:val="Heading6Char"/>
    <w:qFormat/>
    <w:rsid w:val="00AB53DF"/>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AB53DF"/>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AB53DF"/>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53DF"/>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AB53DF"/>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AB53DF"/>
    <w:rPr>
      <w:rFonts w:ascii="Arial" w:eastAsiaTheme="majorEastAsia" w:hAnsi="Arial" w:cstheme="majorBidi"/>
      <w:b/>
      <w:szCs w:val="20"/>
      <w:lang w:val="en-GB"/>
    </w:rPr>
  </w:style>
  <w:style w:type="character" w:customStyle="1" w:styleId="Heading4Char">
    <w:name w:val="Heading 4 Char"/>
    <w:basedOn w:val="DefaultParagraphFont"/>
    <w:link w:val="Heading4"/>
    <w:rsid w:val="00AB53DF"/>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AB53DF"/>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AB53DF"/>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AB53DF"/>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AB53DF"/>
    <w:rPr>
      <w:rFonts w:ascii="Arial" w:eastAsiaTheme="majorEastAsia" w:hAnsi="Arial" w:cstheme="majorBidi"/>
      <w:b/>
      <w:sz w:val="24"/>
      <w:szCs w:val="20"/>
      <w:lang w:val="en-GB"/>
    </w:rPr>
  </w:style>
  <w:style w:type="paragraph" w:customStyle="1" w:styleId="Onderschrift">
    <w:name w:val="Onderschrift"/>
    <w:basedOn w:val="Caption"/>
    <w:autoRedefine/>
    <w:qFormat/>
    <w:rsid w:val="00AB53DF"/>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AB53DF"/>
    <w:pPr>
      <w:spacing w:after="200"/>
    </w:pPr>
    <w:rPr>
      <w:i/>
      <w:iCs/>
      <w:color w:val="44546A" w:themeColor="text2"/>
      <w:sz w:val="18"/>
      <w:szCs w:val="18"/>
    </w:rPr>
  </w:style>
  <w:style w:type="paragraph" w:customStyle="1" w:styleId="References">
    <w:name w:val="References"/>
    <w:basedOn w:val="Normal"/>
    <w:rsid w:val="00FB2675"/>
    <w:pPr>
      <w:numPr>
        <w:numId w:val="3"/>
      </w:numPr>
    </w:pPr>
    <w:rPr>
      <w:lang w:val="en-US"/>
    </w:rPr>
  </w:style>
  <w:style w:type="paragraph" w:customStyle="1" w:styleId="Text">
    <w:name w:val="Text"/>
    <w:basedOn w:val="Normal"/>
    <w:link w:val="TextChar"/>
    <w:rsid w:val="00AF5CEC"/>
  </w:style>
  <w:style w:type="character" w:customStyle="1" w:styleId="TextChar">
    <w:name w:val="Text Char"/>
    <w:link w:val="Text"/>
    <w:rsid w:val="00AF5CEC"/>
    <w:rPr>
      <w:rFonts w:ascii="Arial" w:eastAsia="Times New Roman" w:hAnsi="Arial"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533</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2014-11-20T08:41:00Z</dcterms:created>
  <dcterms:modified xsi:type="dcterms:W3CDTF">2014-11-20T08:41:00Z</dcterms:modified>
</cp:coreProperties>
</file>