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BBC0" w14:textId="05C378F6" w:rsidR="00911FD3" w:rsidRDefault="00911FD3">
      <w:pPr>
        <w:rPr>
          <w:lang w:val="en-US"/>
        </w:rPr>
      </w:pPr>
      <w:r>
        <w:rPr>
          <w:lang w:val="en-US"/>
        </w:rPr>
        <w:t>Datasets:</w:t>
      </w:r>
    </w:p>
    <w:p w14:paraId="370438A7" w14:textId="3CE9FB24" w:rsidR="00911FD3" w:rsidRDefault="004271CA" w:rsidP="00911FD3">
      <w:hyperlink r:id="rId4" w:history="1">
        <w:r w:rsidR="00911FD3">
          <w:rPr>
            <w:rStyle w:val="Hyperlink"/>
          </w:rPr>
          <w:t>JMulTi</w:t>
        </w:r>
      </w:hyperlink>
      <w:r w:rsidR="00911FD3">
        <w:t xml:space="preserve"> </w:t>
      </w:r>
      <w:hyperlink r:id="rId5" w:history="1">
        <w:r w:rsidR="00911FD3" w:rsidRPr="00C51F5F">
          <w:rPr>
            <w:rStyle w:val="Hyperlink"/>
          </w:rPr>
          <w:t>http://www.jmulti.de/data_atse.html</w:t>
        </w:r>
      </w:hyperlink>
      <w:r w:rsidR="00911FD3">
        <w:t xml:space="preserve">  Applied Time Series Econometrics – Helmut </w:t>
      </w:r>
      <w:proofErr w:type="spellStart"/>
      <w:r w:rsidR="00911FD3">
        <w:t>Lutkepohl</w:t>
      </w:r>
      <w:proofErr w:type="spellEnd"/>
    </w:p>
    <w:p w14:paraId="7754654C" w14:textId="7CCE5A76" w:rsidR="00911FD3" w:rsidRDefault="00911FD3" w:rsidP="00911FD3">
      <w:pPr>
        <w:autoSpaceDE w:val="0"/>
        <w:autoSpaceDN w:val="0"/>
        <w:adjustRightInd w:val="0"/>
        <w:spacing w:after="0" w:line="240" w:lineRule="auto"/>
        <w:rPr>
          <w:rFonts w:ascii="TimesNewRomanPS" w:hAnsi="TimesNewRomanPS" w:cs="TimesNewRomanPS"/>
          <w:sz w:val="20"/>
          <w:szCs w:val="20"/>
        </w:rPr>
      </w:pPr>
      <w:r>
        <w:t xml:space="preserve">German GNP series: </w:t>
      </w:r>
      <w:r>
        <w:rPr>
          <w:rFonts w:ascii="TimesNewRomanPS" w:hAnsi="TimesNewRomanPS" w:cs="TimesNewRomanPS"/>
          <w:sz w:val="20"/>
          <w:szCs w:val="20"/>
        </w:rPr>
        <w:t>the break date is known to be the third quarter of 1990</w:t>
      </w:r>
    </w:p>
    <w:p w14:paraId="1371675E" w14:textId="65320928" w:rsidR="00911FD3" w:rsidRDefault="00911FD3" w:rsidP="00911FD3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0"/>
          <w:szCs w:val="20"/>
        </w:rPr>
      </w:pPr>
      <w:r w:rsidRPr="00911FD3">
        <w:rPr>
          <w:rFonts w:ascii="TimesNewRomanPS" w:hAnsi="TimesNewRomanPS" w:cs="TimesNewRomanPS"/>
          <w:sz w:val="20"/>
          <w:szCs w:val="20"/>
        </w:rPr>
        <w:t>U.S. investment and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German interest rate series. In no case can the stationarity null hypothesis be rejected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at the 5% level for the U.S. investment series, whereas it is rejected for the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German interest rate. This result corresponds quite nicely to rejecting the unit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root for the U.S. investment series and not rejecting it for the interest rate with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the ADF and Schmidt–Phillips tests.</w:t>
      </w:r>
      <w:r w:rsidRPr="00911FD3"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 xml:space="preserve">Notice, however, that using </w:t>
      </w:r>
      <w:proofErr w:type="spellStart"/>
      <w:r w:rsidRPr="00911FD3">
        <w:rPr>
          <w:rFonts w:ascii="TimesNewRomanPS" w:hAnsi="TimesNewRomanPS" w:cs="TimesNewRomanPS"/>
          <w:sz w:val="20"/>
          <w:szCs w:val="20"/>
        </w:rPr>
        <w:t>lq</w:t>
      </w:r>
      <w:proofErr w:type="spellEnd"/>
      <w:r w:rsidRPr="00911FD3">
        <w:rPr>
          <w:rFonts w:ascii="TimesNewRomanPS" w:hAnsi="TimesNewRomanPS" w:cs="TimesNewRomanPS"/>
          <w:sz w:val="20"/>
          <w:szCs w:val="20"/>
        </w:rPr>
        <w:t xml:space="preserve"> = 12 for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the investment series results in a test value that is significant at the 10% level.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Still, taking all the evidence together, we find that the series is better viewed as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proofErr w:type="gramStart"/>
      <w:r w:rsidRPr="00911FD3">
        <w:rPr>
          <w:rFonts w:ascii="TimesNewRomanPS" w:hAnsi="TimesNewRomanPS" w:cs="TimesNewRomanPS"/>
          <w:sz w:val="20"/>
          <w:szCs w:val="20"/>
        </w:rPr>
        <w:t>I(</w:t>
      </w:r>
      <w:proofErr w:type="gramEnd"/>
      <w:r w:rsidRPr="00911FD3">
        <w:rPr>
          <w:rFonts w:ascii="TimesNewRomanPS" w:hAnsi="TimesNewRomanPS" w:cs="TimesNewRomanPS"/>
          <w:sz w:val="20"/>
          <w:szCs w:val="20"/>
        </w:rPr>
        <w:t>0) than as I(1).</w:t>
      </w:r>
    </w:p>
    <w:p w14:paraId="4B9631D3" w14:textId="5C0253E0" w:rsidR="00911FD3" w:rsidRDefault="00911FD3" w:rsidP="00911FD3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0"/>
          <w:szCs w:val="20"/>
        </w:rPr>
      </w:pPr>
    </w:p>
    <w:p w14:paraId="276DE37F" w14:textId="3FE0F923" w:rsidR="00911FD3" w:rsidRPr="00911FD3" w:rsidRDefault="00911FD3" w:rsidP="00911FD3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0"/>
          <w:szCs w:val="20"/>
        </w:rPr>
      </w:pPr>
      <w:r w:rsidRPr="00911FD3">
        <w:rPr>
          <w:rFonts w:ascii="TimesNewRomanPS" w:hAnsi="TimesNewRomanPS" w:cs="TimesNewRomanPS"/>
          <w:b/>
          <w:bCs/>
          <w:sz w:val="20"/>
          <w:szCs w:val="20"/>
        </w:rPr>
        <w:t>seasonally adjusted, quarterly German consumption data for the period 1960Q1 − 1982Q4</w:t>
      </w:r>
      <w:r w:rsidRPr="00911FD3">
        <w:rPr>
          <w:rFonts w:ascii="TimesNewRomanPS" w:hAnsi="TimesNewRomanPS" w:cs="TimesNewRomanPS"/>
          <w:sz w:val="20"/>
          <w:szCs w:val="20"/>
        </w:rPr>
        <w:t>.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 xml:space="preserve">The series is the consumption series given in Table E.1 of </w:t>
      </w:r>
      <w:proofErr w:type="spellStart"/>
      <w:r w:rsidRPr="00911FD3">
        <w:rPr>
          <w:rFonts w:ascii="TimesNewRomanPS" w:hAnsi="TimesNewRomanPS" w:cs="TimesNewRomanPS"/>
          <w:sz w:val="20"/>
          <w:szCs w:val="20"/>
        </w:rPr>
        <w:t>Lutkepohl</w:t>
      </w:r>
      <w:proofErr w:type="spellEnd"/>
      <w:r w:rsidRPr="00911FD3">
        <w:rPr>
          <w:rFonts w:ascii="TimesNewRomanPS" w:hAnsi="TimesNewRomanPS" w:cs="TimesNewRomanPS"/>
          <w:sz w:val="20"/>
          <w:szCs w:val="20"/>
        </w:rPr>
        <w:t xml:space="preserve"> (1991).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They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reveal that constructing a model for the logs is likely to be advantageous because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the changes in the log series display a more stable variance than the changes</w:t>
      </w:r>
    </w:p>
    <w:p w14:paraId="6058AB9D" w14:textId="734A1A5A" w:rsidR="00911FD3" w:rsidRDefault="00911FD3" w:rsidP="00911FD3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b/>
          <w:bCs/>
          <w:sz w:val="20"/>
          <w:szCs w:val="20"/>
        </w:rPr>
      </w:pPr>
      <w:r w:rsidRPr="00911FD3">
        <w:rPr>
          <w:rFonts w:ascii="TimesNewRomanPS" w:hAnsi="TimesNewRomanPS" w:cs="TimesNewRomanPS"/>
          <w:sz w:val="20"/>
          <w:szCs w:val="20"/>
        </w:rPr>
        <w:t>in the original series.</w:t>
      </w:r>
      <w:r w:rsidRPr="00911FD3"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At the 5% level the unit root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cannot be rejected. The corresponding KPSS test, again with a constant and a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sz w:val="20"/>
          <w:szCs w:val="20"/>
        </w:rPr>
        <w:t>time trend, confirms the result. It clearly rejects stationarity at the 5% level.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911FD3">
        <w:rPr>
          <w:rFonts w:ascii="TimesNewRomanPS" w:hAnsi="TimesNewRomanPS" w:cs="TimesNewRomanPS"/>
          <w:b/>
          <w:bCs/>
          <w:sz w:val="20"/>
          <w:szCs w:val="20"/>
        </w:rPr>
        <w:t>This outcome results with a lag truncation parameter of three, but a rejection of stationarity is also obtained with other lag orders. Overall, the test results support one unit root in the log consumption series; thus, specifying a stationary model for the first differences seems appropriate.</w:t>
      </w:r>
    </w:p>
    <w:p w14:paraId="7CE1EA66" w14:textId="01EA4711" w:rsidR="006C0E5B" w:rsidRDefault="006C0E5B" w:rsidP="00911FD3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b/>
          <w:bCs/>
          <w:sz w:val="20"/>
          <w:szCs w:val="20"/>
        </w:rPr>
      </w:pPr>
    </w:p>
    <w:p w14:paraId="13B4FBF8" w14:textId="2E397928" w:rsidR="006C0E5B" w:rsidRPr="006C0E5B" w:rsidRDefault="006C0E5B" w:rsidP="006C0E5B">
      <w:pPr>
        <w:autoSpaceDE w:val="0"/>
        <w:autoSpaceDN w:val="0"/>
        <w:adjustRightInd w:val="0"/>
        <w:spacing w:after="0" w:line="240" w:lineRule="auto"/>
        <w:jc w:val="both"/>
        <w:rPr>
          <w:rFonts w:ascii="TimesNewRomanPS" w:hAnsi="TimesNewRomanPS" w:cs="TimesNewRomanPS"/>
          <w:sz w:val="20"/>
          <w:szCs w:val="20"/>
        </w:rPr>
      </w:pPr>
      <w:r w:rsidRPr="006C0E5B">
        <w:rPr>
          <w:rFonts w:ascii="TimesNewRomanPS" w:hAnsi="TimesNewRomanPS" w:cs="TimesNewRomanPS"/>
          <w:b/>
          <w:bCs/>
          <w:sz w:val="20"/>
          <w:szCs w:val="20"/>
        </w:rPr>
        <w:t>The second example series consists of the logarithms of a seasonally unadjusted</w:t>
      </w:r>
      <w:r>
        <w:rPr>
          <w:rFonts w:ascii="TimesNewRomanPS" w:hAnsi="TimesNewRomanPS" w:cs="TimesNewRomanPS"/>
          <w:b/>
          <w:bCs/>
          <w:sz w:val="20"/>
          <w:szCs w:val="20"/>
        </w:rPr>
        <w:t xml:space="preserve"> </w:t>
      </w:r>
      <w:r w:rsidRPr="006C0E5B">
        <w:rPr>
          <w:rFonts w:ascii="TimesNewRomanPS" w:hAnsi="TimesNewRomanPS" w:cs="TimesNewRomanPS"/>
          <w:b/>
          <w:bCs/>
          <w:sz w:val="20"/>
          <w:szCs w:val="20"/>
        </w:rPr>
        <w:t>quarterly Polish productivity series for the period 1970Q1–1998Q4.</w:t>
      </w:r>
      <w:r>
        <w:rPr>
          <w:rFonts w:ascii="TimesNewRomanPS" w:hAnsi="TimesNewRomanPS" w:cs="TimesNewRomanPS"/>
          <w:b/>
          <w:bCs/>
          <w:sz w:val="20"/>
          <w:szCs w:val="20"/>
        </w:rPr>
        <w:t xml:space="preserve"> </w:t>
      </w:r>
      <w:r w:rsidRPr="006C0E5B">
        <w:rPr>
          <w:rFonts w:ascii="TimesNewRomanPS" w:hAnsi="TimesNewRomanPS" w:cs="TimesNewRomanPS"/>
          <w:sz w:val="20"/>
          <w:szCs w:val="20"/>
        </w:rPr>
        <w:t>Although the series is not seasonally adjusted, it does not have a very clear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6C0E5B">
        <w:rPr>
          <w:rFonts w:ascii="TimesNewRomanPS" w:hAnsi="TimesNewRomanPS" w:cs="TimesNewRomanPS"/>
          <w:sz w:val="20"/>
          <w:szCs w:val="20"/>
        </w:rPr>
        <w:t>seasonal pattern.</w:t>
      </w:r>
      <w:r w:rsidRPr="006C0E5B">
        <w:t xml:space="preserve"> </w:t>
      </w:r>
      <w:r w:rsidRPr="006C0E5B">
        <w:rPr>
          <w:rFonts w:ascii="TimesNewRomanPS" w:hAnsi="TimesNewRomanPS" w:cs="TimesNewRomanPS"/>
          <w:sz w:val="20"/>
          <w:szCs w:val="20"/>
        </w:rPr>
        <w:t>the presence of a structural shift in 1990Q1 for Polish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6C0E5B">
        <w:rPr>
          <w:rFonts w:ascii="TimesNewRomanPS" w:hAnsi="TimesNewRomanPS" w:cs="TimesNewRomanPS"/>
          <w:sz w:val="20"/>
          <w:szCs w:val="20"/>
        </w:rPr>
        <w:t>productivity</w:t>
      </w:r>
      <w:r>
        <w:rPr>
          <w:rFonts w:ascii="TimesNewRomanPS" w:hAnsi="TimesNewRomanPS" w:cs="TimesNewRomanPS"/>
          <w:sz w:val="20"/>
          <w:szCs w:val="20"/>
        </w:rPr>
        <w:t xml:space="preserve">. </w:t>
      </w:r>
      <w:r w:rsidRPr="006C0E5B">
        <w:rPr>
          <w:rFonts w:ascii="TimesNewRomanPS" w:hAnsi="TimesNewRomanPS" w:cs="TimesNewRomanPS"/>
          <w:sz w:val="20"/>
          <w:szCs w:val="20"/>
        </w:rPr>
        <w:t>case the unit root is clearly rejected</w:t>
      </w:r>
      <w:r>
        <w:rPr>
          <w:rFonts w:ascii="TimesNewRomanPS" w:hAnsi="TimesNewRomanPS" w:cs="TimesNewRomanPS"/>
          <w:sz w:val="20"/>
          <w:szCs w:val="20"/>
        </w:rPr>
        <w:t xml:space="preserve"> </w:t>
      </w:r>
      <w:r w:rsidRPr="006C0E5B">
        <w:rPr>
          <w:rFonts w:ascii="TimesNewRomanPS" w:hAnsi="TimesNewRomanPS" w:cs="TimesNewRomanPS"/>
          <w:sz w:val="20"/>
          <w:szCs w:val="20"/>
        </w:rPr>
        <w:t>even at the 1% level. Hence, we continue the analysis with the first differences</w:t>
      </w:r>
      <w:r w:rsidR="001A12A0">
        <w:rPr>
          <w:rFonts w:ascii="TimesNewRomanPS" w:hAnsi="TimesNewRomanPS" w:cs="TimesNewRomanPS"/>
          <w:sz w:val="20"/>
          <w:szCs w:val="20"/>
        </w:rPr>
        <w:t xml:space="preserve"> </w:t>
      </w:r>
      <w:r w:rsidRPr="006C0E5B">
        <w:rPr>
          <w:rFonts w:ascii="TimesNewRomanPS" w:hAnsi="TimesNewRomanPS" w:cs="TimesNewRomanPS"/>
          <w:sz w:val="20"/>
          <w:szCs w:val="20"/>
        </w:rPr>
        <w:t>of the series and include an impulse dummy as a deterministic</w:t>
      </w:r>
      <w:r w:rsidR="001A12A0">
        <w:rPr>
          <w:rFonts w:ascii="TimesNewRomanPS" w:hAnsi="TimesNewRomanPS" w:cs="TimesNewRomanPS"/>
          <w:sz w:val="20"/>
          <w:szCs w:val="20"/>
        </w:rPr>
        <w:t xml:space="preserve"> </w:t>
      </w:r>
      <w:r w:rsidRPr="006C0E5B">
        <w:rPr>
          <w:rFonts w:ascii="TimesNewRomanPS" w:hAnsi="TimesNewRomanPS" w:cs="TimesNewRomanPS"/>
          <w:sz w:val="20"/>
          <w:szCs w:val="20"/>
        </w:rPr>
        <w:t>term in addition to a constant.</w:t>
      </w:r>
    </w:p>
    <w:p w14:paraId="440FACB1" w14:textId="77777777" w:rsidR="00911FD3" w:rsidRDefault="00911FD3" w:rsidP="00911FD3">
      <w:pPr>
        <w:autoSpaceDE w:val="0"/>
        <w:autoSpaceDN w:val="0"/>
        <w:adjustRightInd w:val="0"/>
        <w:spacing w:after="0" w:line="240" w:lineRule="auto"/>
      </w:pPr>
    </w:p>
    <w:p w14:paraId="3609BB36" w14:textId="79FB7E71" w:rsidR="00911FD3" w:rsidRDefault="004271CA" w:rsidP="00911FD3">
      <w:pPr>
        <w:rPr>
          <w:lang w:val="en-US"/>
        </w:rPr>
      </w:pPr>
      <w:hyperlink r:id="rId6" w:history="1">
        <w:r w:rsidR="00911FD3" w:rsidRPr="00C51F5F">
          <w:rPr>
            <w:rStyle w:val="Hyperlink"/>
            <w:lang w:val="en-US"/>
          </w:rPr>
          <w:t>https://www.time-series.net/data_sets</w:t>
        </w:r>
      </w:hyperlink>
      <w:r w:rsidR="00911FD3">
        <w:rPr>
          <w:lang w:val="en-US"/>
        </w:rPr>
        <w:t xml:space="preserve">  - </w:t>
      </w:r>
      <w:r w:rsidR="00911FD3" w:rsidRPr="00911FD3">
        <w:rPr>
          <w:lang w:val="en-US"/>
        </w:rPr>
        <w:t>Applied Econometric Time Series</w:t>
      </w:r>
      <w:r w:rsidR="00911FD3">
        <w:rPr>
          <w:lang w:val="en-US"/>
        </w:rPr>
        <w:t xml:space="preserve"> – Walter Enders</w:t>
      </w:r>
    </w:p>
    <w:p w14:paraId="402EB794" w14:textId="5B456C6D" w:rsidR="00EE06A8" w:rsidRDefault="00EE06A8" w:rsidP="00911FD3">
      <w:pPr>
        <w:rPr>
          <w:lang w:val="en-US"/>
        </w:rPr>
      </w:pPr>
    </w:p>
    <w:p w14:paraId="115D6C44" w14:textId="480F17F0" w:rsidR="00EE06A8" w:rsidRDefault="00EE06A8" w:rsidP="00911FD3">
      <w:pPr>
        <w:rPr>
          <w:lang w:val="en-US"/>
        </w:rPr>
      </w:pPr>
    </w:p>
    <w:p w14:paraId="0616249D" w14:textId="1A874705" w:rsidR="00EE06A8" w:rsidRDefault="00EE06A8" w:rsidP="00911FD3">
      <w:pPr>
        <w:rPr>
          <w:lang w:val="en-US"/>
        </w:rPr>
      </w:pPr>
    </w:p>
    <w:p w14:paraId="52BC5632" w14:textId="053F0D1E" w:rsidR="00EE06A8" w:rsidRDefault="00EE06A8" w:rsidP="00911FD3">
      <w:pPr>
        <w:rPr>
          <w:lang w:val="en-US"/>
        </w:rPr>
      </w:pPr>
      <w:r>
        <w:rPr>
          <w:lang w:val="en-US"/>
        </w:rPr>
        <w:t>Wei: W1 series: stationary</w:t>
      </w:r>
    </w:p>
    <w:p w14:paraId="5EE6F018" w14:textId="6DBE104D" w:rsidR="00EE06A8" w:rsidRDefault="00EE06A8" w:rsidP="00911FD3">
      <w:pPr>
        <w:rPr>
          <w:lang w:val="en-US"/>
        </w:rPr>
      </w:pPr>
      <w:r w:rsidRPr="00EE06A8">
        <w:rPr>
          <w:noProof/>
          <w:lang w:val="en-US"/>
        </w:rPr>
        <w:drawing>
          <wp:inline distT="0" distB="0" distL="0" distR="0" wp14:anchorId="2F84414D" wp14:editId="7FC9ED07">
            <wp:extent cx="2010056" cy="113363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6030" w14:textId="362BF30D" w:rsidR="00EE06A8" w:rsidRDefault="00EE06A8" w:rsidP="00911FD3">
      <w:pPr>
        <w:rPr>
          <w:lang w:val="en-US"/>
        </w:rPr>
      </w:pPr>
      <w:r>
        <w:rPr>
          <w:lang w:val="en-US"/>
        </w:rPr>
        <w:t>W2 series stationary in mean but may not in variance</w:t>
      </w:r>
    </w:p>
    <w:p w14:paraId="6BAA854F" w14:textId="4EA4464C" w:rsidR="00EE06A8" w:rsidRDefault="00EE06A8" w:rsidP="00EE06A8">
      <w:pPr>
        <w:rPr>
          <w:lang w:val="en-US"/>
        </w:rPr>
      </w:pPr>
      <w:r>
        <w:rPr>
          <w:lang w:val="en-US"/>
        </w:rPr>
        <w:t>W3: series stationary in mean but may not in variance</w:t>
      </w:r>
    </w:p>
    <w:p w14:paraId="0F29BABD" w14:textId="2D92D377" w:rsidR="00844340" w:rsidRDefault="00844340" w:rsidP="00EE06A8">
      <w:pPr>
        <w:rPr>
          <w:lang w:val="en-US"/>
        </w:rPr>
      </w:pPr>
      <w:r>
        <w:rPr>
          <w:lang w:val="en-US"/>
        </w:rPr>
        <w:t>Blow-fly data: typo at t=20</w:t>
      </w:r>
    </w:p>
    <w:p w14:paraId="4F180FE4" w14:textId="58A86129" w:rsidR="00EE06A8" w:rsidRDefault="00EE06A8" w:rsidP="00911FD3">
      <w:pPr>
        <w:rPr>
          <w:lang w:val="en-US"/>
        </w:rPr>
      </w:pPr>
      <w:r>
        <w:rPr>
          <w:lang w:val="en-US"/>
        </w:rPr>
        <w:t xml:space="preserve">W4: non stat in mean </w:t>
      </w:r>
    </w:p>
    <w:p w14:paraId="5783E269" w14:textId="45C6BF34" w:rsidR="00844340" w:rsidRDefault="00844340" w:rsidP="00911FD3">
      <w:pPr>
        <w:rPr>
          <w:lang w:val="en-US"/>
        </w:rPr>
      </w:pPr>
      <w:r w:rsidRPr="00844340">
        <w:rPr>
          <w:noProof/>
          <w:lang w:val="en-US"/>
        </w:rPr>
        <w:drawing>
          <wp:inline distT="0" distB="0" distL="0" distR="0" wp14:anchorId="74A21969" wp14:editId="09B5D279">
            <wp:extent cx="2114845" cy="905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CCD7" w14:textId="16486D35" w:rsidR="00EE06A8" w:rsidRDefault="00EE06A8" w:rsidP="00911FD3">
      <w:pPr>
        <w:rPr>
          <w:lang w:val="en-US"/>
        </w:rPr>
      </w:pPr>
      <w:r>
        <w:rPr>
          <w:lang w:val="en-US"/>
        </w:rPr>
        <w:lastRenderedPageBreak/>
        <w:t>W5: non stat in mean with increasing trend</w:t>
      </w:r>
    </w:p>
    <w:p w14:paraId="73925721" w14:textId="53CA01C0" w:rsidR="00EE06A8" w:rsidRDefault="00EE06A8" w:rsidP="00911FD3">
      <w:pPr>
        <w:rPr>
          <w:lang w:val="en-US"/>
        </w:rPr>
      </w:pPr>
      <w:r>
        <w:rPr>
          <w:lang w:val="en-US"/>
        </w:rPr>
        <w:t>W6: non stat in mean and variance</w:t>
      </w:r>
    </w:p>
    <w:p w14:paraId="07B2164B" w14:textId="5998C5B8" w:rsidR="00EE06A8" w:rsidRDefault="00EE06A8" w:rsidP="00911FD3">
      <w:pPr>
        <w:rPr>
          <w:lang w:val="en-US"/>
        </w:rPr>
      </w:pPr>
      <w:r>
        <w:rPr>
          <w:lang w:val="en-US"/>
        </w:rPr>
        <w:t>W7: log series is stat</w:t>
      </w:r>
    </w:p>
    <w:p w14:paraId="54E61210" w14:textId="4032E2E3" w:rsidR="00EE06A8" w:rsidRDefault="00EE06A8" w:rsidP="00911FD3">
      <w:pPr>
        <w:rPr>
          <w:lang w:val="en-US"/>
        </w:rPr>
      </w:pPr>
      <w:r>
        <w:rPr>
          <w:lang w:val="en-US"/>
        </w:rPr>
        <w:t xml:space="preserve">W10 </w:t>
      </w:r>
      <w:proofErr w:type="gramStart"/>
      <w:r>
        <w:rPr>
          <w:lang w:val="en-US"/>
        </w:rPr>
        <w:t>-  seasonal</w:t>
      </w:r>
      <w:proofErr w:type="gramEnd"/>
      <w:r>
        <w:rPr>
          <w:lang w:val="en-US"/>
        </w:rPr>
        <w:t xml:space="preserve"> quarterly – seasonal unit root</w:t>
      </w:r>
    </w:p>
    <w:p w14:paraId="7B36EBCA" w14:textId="1F5833F4" w:rsidR="00844340" w:rsidRDefault="00844340" w:rsidP="00911FD3">
      <w:pPr>
        <w:rPr>
          <w:lang w:val="en-US"/>
        </w:rPr>
      </w:pPr>
      <w:r w:rsidRPr="00844340">
        <w:rPr>
          <w:noProof/>
          <w:lang w:val="en-US"/>
        </w:rPr>
        <w:drawing>
          <wp:inline distT="0" distB="0" distL="0" distR="0" wp14:anchorId="15CDD6A9" wp14:editId="14B0BBA8">
            <wp:extent cx="3410426" cy="933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94A8" w14:textId="5C07307A" w:rsidR="00EE06A8" w:rsidRDefault="00EE06A8" w:rsidP="00911FD3">
      <w:pPr>
        <w:rPr>
          <w:lang w:val="en-US"/>
        </w:rPr>
      </w:pPr>
      <w:r>
        <w:rPr>
          <w:lang w:val="en-US"/>
        </w:rPr>
        <w:t>Monthly O3 readings: January 1960 break</w:t>
      </w:r>
    </w:p>
    <w:p w14:paraId="1ADB9310" w14:textId="00EAC438" w:rsidR="00EE06A8" w:rsidRDefault="00EE06A8" w:rsidP="00911FD3">
      <w:pPr>
        <w:rPr>
          <w:lang w:val="en-US"/>
        </w:rPr>
      </w:pPr>
      <w:r w:rsidRPr="00EE06A8">
        <w:rPr>
          <w:noProof/>
          <w:lang w:val="en-US"/>
        </w:rPr>
        <w:drawing>
          <wp:inline distT="0" distB="0" distL="0" distR="0" wp14:anchorId="497650B1" wp14:editId="5B02608E">
            <wp:extent cx="4505954" cy="161947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E660" w14:textId="77777777" w:rsidR="00EE06A8" w:rsidRDefault="00EE06A8" w:rsidP="00911FD3">
      <w:pPr>
        <w:rPr>
          <w:lang w:val="en-US"/>
        </w:rPr>
      </w:pPr>
    </w:p>
    <w:p w14:paraId="710476ED" w14:textId="4327FD41" w:rsidR="00EE06A8" w:rsidRDefault="00BA0A19" w:rsidP="00BA0A19">
      <w:pPr>
        <w:rPr>
          <w:lang w:val="en-US"/>
        </w:rPr>
      </w:pPr>
      <w:r>
        <w:rPr>
          <w:lang w:val="en-US"/>
        </w:rPr>
        <w:t xml:space="preserve">Shumway &amp; </w:t>
      </w:r>
      <w:proofErr w:type="spellStart"/>
      <w:r>
        <w:rPr>
          <w:lang w:val="en-US"/>
        </w:rPr>
        <w:t>Stoffer</w:t>
      </w:r>
      <w:proofErr w:type="spellEnd"/>
      <w:r>
        <w:rPr>
          <w:lang w:val="en-US"/>
        </w:rPr>
        <w:t xml:space="preserve">: </w:t>
      </w:r>
      <w:r w:rsidRPr="00BA0A19">
        <w:rPr>
          <w:lang w:val="en-US"/>
        </w:rPr>
        <w:t>Time Series Analysis and Its Applications</w:t>
      </w:r>
      <w:r>
        <w:rPr>
          <w:lang w:val="en-US"/>
        </w:rPr>
        <w:t xml:space="preserve"> </w:t>
      </w:r>
      <w:proofErr w:type="gramStart"/>
      <w:r w:rsidRPr="00BA0A19">
        <w:rPr>
          <w:lang w:val="en-US"/>
        </w:rPr>
        <w:t>With</w:t>
      </w:r>
      <w:proofErr w:type="gramEnd"/>
      <w:r w:rsidRPr="00BA0A19">
        <w:rPr>
          <w:lang w:val="en-US"/>
        </w:rPr>
        <w:t xml:space="preserve"> R Examples</w:t>
      </w:r>
      <w:r>
        <w:rPr>
          <w:lang w:val="en-US"/>
        </w:rPr>
        <w:t xml:space="preserve"> – 3</w:t>
      </w:r>
      <w:r w:rsidRPr="00BA0A19">
        <w:rPr>
          <w:vertAlign w:val="superscript"/>
          <w:lang w:val="en-US"/>
        </w:rPr>
        <w:t>rd</w:t>
      </w:r>
      <w:r>
        <w:rPr>
          <w:lang w:val="en-US"/>
        </w:rPr>
        <w:t xml:space="preserve"> edition</w:t>
      </w:r>
    </w:p>
    <w:p w14:paraId="702B8A44" w14:textId="75DB00E4" w:rsidR="00BA0A19" w:rsidRDefault="00BA0A19" w:rsidP="00BA0A19">
      <w:pPr>
        <w:rPr>
          <w:lang w:val="en-US"/>
        </w:rPr>
      </w:pPr>
      <w:proofErr w:type="gramStart"/>
      <w:r w:rsidRPr="00BA0A19">
        <w:rPr>
          <w:lang w:val="en-US"/>
        </w:rPr>
        <w:t>Twenty-four month</w:t>
      </w:r>
      <w:proofErr w:type="gramEnd"/>
      <w:r w:rsidRPr="00BA0A19">
        <w:rPr>
          <w:lang w:val="en-US"/>
        </w:rPr>
        <w:t xml:space="preserve"> forecasts for the Recruitment series. The actual data</w:t>
      </w:r>
      <w:r>
        <w:rPr>
          <w:lang w:val="en-US"/>
        </w:rPr>
        <w:t xml:space="preserve"> </w:t>
      </w:r>
      <w:r w:rsidRPr="00BA0A19">
        <w:rPr>
          <w:lang w:val="en-US"/>
        </w:rPr>
        <w:t>shown are from about January 1980 to September 1987</w:t>
      </w:r>
      <w:r>
        <w:rPr>
          <w:lang w:val="en-US"/>
        </w:rPr>
        <w:t xml:space="preserve"> – stationary</w:t>
      </w:r>
    </w:p>
    <w:p w14:paraId="7449CDAC" w14:textId="376F002E" w:rsidR="00BA0A19" w:rsidRDefault="00BA0A19" w:rsidP="00BA0A19">
      <w:pPr>
        <w:rPr>
          <w:lang w:val="en-US"/>
        </w:rPr>
      </w:pPr>
      <w:r w:rsidRPr="00BA0A19">
        <w:rPr>
          <w:lang w:val="en-US"/>
        </w:rPr>
        <w:t>In this example, we consider the analysis of quarterly U.S. GNP from</w:t>
      </w:r>
      <w:r>
        <w:rPr>
          <w:lang w:val="en-US"/>
        </w:rPr>
        <w:t xml:space="preserve"> </w:t>
      </w:r>
      <w:r w:rsidRPr="00BA0A19">
        <w:rPr>
          <w:lang w:val="en-US"/>
        </w:rPr>
        <w:t>1947(1) to 2002(3), n = 223 observations. The data are real U.S. gross</w:t>
      </w:r>
      <w:r>
        <w:rPr>
          <w:lang w:val="en-US"/>
        </w:rPr>
        <w:t xml:space="preserve"> </w:t>
      </w:r>
      <w:r w:rsidRPr="00BA0A19">
        <w:rPr>
          <w:lang w:val="en-US"/>
        </w:rPr>
        <w:t>national product in billions of chained 1996 dollars and have been seasonally</w:t>
      </w:r>
      <w:r>
        <w:rPr>
          <w:lang w:val="en-US"/>
        </w:rPr>
        <w:t xml:space="preserve"> </w:t>
      </w:r>
      <w:r w:rsidRPr="00BA0A19">
        <w:rPr>
          <w:lang w:val="en-US"/>
        </w:rPr>
        <w:t>adjusted. The data were obtained from the Federal Reserve Bank of</w:t>
      </w:r>
      <w:r>
        <w:rPr>
          <w:lang w:val="en-US"/>
        </w:rPr>
        <w:t xml:space="preserve"> </w:t>
      </w:r>
      <w:r w:rsidRPr="00BA0A19">
        <w:rPr>
          <w:lang w:val="en-US"/>
        </w:rPr>
        <w:t>St. Louis (http://research.stlouisfed.org/).</w:t>
      </w:r>
      <w:r w:rsidRPr="00BA0A19">
        <w:t xml:space="preserve"> </w:t>
      </w:r>
      <w:r w:rsidRPr="00BA0A19">
        <w:rPr>
          <w:lang w:val="en-US"/>
        </w:rPr>
        <w:t>the trend has been removed we are able to notice that the variability in</w:t>
      </w:r>
      <w:r>
        <w:rPr>
          <w:lang w:val="en-US"/>
        </w:rPr>
        <w:t xml:space="preserve"> </w:t>
      </w:r>
      <w:r w:rsidRPr="00BA0A19">
        <w:rPr>
          <w:lang w:val="en-US"/>
        </w:rPr>
        <w:t xml:space="preserve">the second half of the data is larger than in the </w:t>
      </w:r>
      <w:r>
        <w:rPr>
          <w:lang w:val="en-US"/>
        </w:rPr>
        <w:t>fi</w:t>
      </w:r>
      <w:r w:rsidRPr="00BA0A19">
        <w:rPr>
          <w:lang w:val="en-US"/>
        </w:rPr>
        <w:t>rst half of the data. Also,</w:t>
      </w:r>
      <w:r>
        <w:rPr>
          <w:lang w:val="en-US"/>
        </w:rPr>
        <w:t xml:space="preserve"> </w:t>
      </w:r>
      <w:r w:rsidRPr="00BA0A19">
        <w:rPr>
          <w:lang w:val="en-US"/>
        </w:rPr>
        <w:t>it appears as though a trend is still present after di</w:t>
      </w:r>
      <w:r>
        <w:rPr>
          <w:lang w:val="en-US"/>
        </w:rPr>
        <w:t>ff</w:t>
      </w:r>
      <w:r w:rsidRPr="00BA0A19">
        <w:rPr>
          <w:lang w:val="en-US"/>
        </w:rPr>
        <w:t>erencing.</w:t>
      </w:r>
      <w:r w:rsidRPr="00BA0A19">
        <w:t xml:space="preserve"> </w:t>
      </w:r>
      <w:proofErr w:type="gramStart"/>
      <w:r w:rsidRPr="00BA0A19">
        <w:rPr>
          <w:lang w:val="en-US"/>
        </w:rPr>
        <w:t>ARIMA(</w:t>
      </w:r>
      <w:proofErr w:type="gramEnd"/>
      <w:r w:rsidRPr="00BA0A19">
        <w:rPr>
          <w:lang w:val="en-US"/>
        </w:rPr>
        <w:t>1; 1; 0)</w:t>
      </w:r>
      <w:r>
        <w:rPr>
          <w:lang w:val="en-US"/>
        </w:rPr>
        <w:t xml:space="preserve"> </w:t>
      </w:r>
      <w:r w:rsidRPr="00BA0A19">
        <w:rPr>
          <w:lang w:val="en-US"/>
        </w:rPr>
        <w:t>for log GNP.</w:t>
      </w:r>
    </w:p>
    <w:p w14:paraId="3866C00D" w14:textId="58E2764F" w:rsidR="00BA0A19" w:rsidRDefault="00BA0A19" w:rsidP="00BA0A19">
      <w:pPr>
        <w:rPr>
          <w:lang w:val="en-US"/>
        </w:rPr>
      </w:pPr>
    </w:p>
    <w:p w14:paraId="02E18866" w14:textId="7BEB29DF" w:rsidR="00BA0A19" w:rsidRDefault="00BA0A19" w:rsidP="00BA0A19">
      <w:pPr>
        <w:rPr>
          <w:lang w:val="en-US"/>
        </w:rPr>
      </w:pPr>
      <w:r w:rsidRPr="00BA0A19">
        <w:rPr>
          <w:lang w:val="en-US"/>
        </w:rPr>
        <w:t>the Monthly Federal Reserve Board Production Index and</w:t>
      </w:r>
      <w:r>
        <w:rPr>
          <w:lang w:val="en-US"/>
        </w:rPr>
        <w:t xml:space="preserve"> </w:t>
      </w:r>
      <w:r w:rsidRPr="00BA0A19">
        <w:rPr>
          <w:lang w:val="en-US"/>
        </w:rPr>
        <w:t>Unemployment (1948-1978, n = 372 months).</w:t>
      </w:r>
      <w:r w:rsidRPr="00BA0A19">
        <w:t xml:space="preserve"> </w:t>
      </w:r>
      <w:proofErr w:type="gramStart"/>
      <w:r w:rsidRPr="00BA0A19">
        <w:rPr>
          <w:lang w:val="en-US"/>
        </w:rPr>
        <w:t>ARIMA(</w:t>
      </w:r>
      <w:proofErr w:type="gramEnd"/>
      <w:r w:rsidRPr="00BA0A19">
        <w:rPr>
          <w:lang w:val="en-US"/>
        </w:rPr>
        <w:t>0; 1; 1)  (0; 1; 1)12</w:t>
      </w:r>
    </w:p>
    <w:p w14:paraId="11516DBA" w14:textId="39B229FF" w:rsidR="00BA0A19" w:rsidRDefault="00291EE6" w:rsidP="00291EE6">
      <w:pPr>
        <w:rPr>
          <w:lang w:val="en-US"/>
        </w:rPr>
      </w:pPr>
      <w:r w:rsidRPr="00291EE6">
        <w:rPr>
          <w:lang w:val="en-US"/>
        </w:rPr>
        <w:t>Periodogram of SOI and Recruitment, n = 453 (n0 = 480), where the</w:t>
      </w:r>
      <w:r>
        <w:rPr>
          <w:lang w:val="en-US"/>
        </w:rPr>
        <w:t xml:space="preserve"> </w:t>
      </w:r>
      <w:r w:rsidRPr="00291EE6">
        <w:rPr>
          <w:lang w:val="en-US"/>
        </w:rPr>
        <w:t xml:space="preserve">frequency axis is labeled in multiples </w:t>
      </w:r>
      <w:proofErr w:type="gramStart"/>
      <w:r w:rsidRPr="00291EE6">
        <w:rPr>
          <w:lang w:val="en-US"/>
        </w:rPr>
        <w:t>of  =</w:t>
      </w:r>
      <w:proofErr w:type="gramEnd"/>
      <w:r w:rsidRPr="00291EE6">
        <w:rPr>
          <w:lang w:val="en-US"/>
        </w:rPr>
        <w:t xml:space="preserve"> 1=12. one cycle per year (12 months), one</w:t>
      </w:r>
      <w:r>
        <w:rPr>
          <w:lang w:val="en-US"/>
        </w:rPr>
        <w:t xml:space="preserve"> </w:t>
      </w:r>
      <w:r w:rsidRPr="00291EE6">
        <w:rPr>
          <w:lang w:val="en-US"/>
        </w:rPr>
        <w:t>cycle every four years (48 months).</w:t>
      </w:r>
    </w:p>
    <w:p w14:paraId="0301F10F" w14:textId="7C89829E" w:rsidR="00291EE6" w:rsidRDefault="00291EE6" w:rsidP="00291EE6">
      <w:pPr>
        <w:rPr>
          <w:lang w:val="en-US"/>
        </w:rPr>
      </w:pPr>
    </w:p>
    <w:p w14:paraId="4264F41E" w14:textId="7821D3B4" w:rsidR="00291EE6" w:rsidRDefault="00291EE6" w:rsidP="00291EE6">
      <w:pPr>
        <w:rPr>
          <w:lang w:val="en-US"/>
        </w:rPr>
      </w:pPr>
      <w:r>
        <w:rPr>
          <w:lang w:val="en-US"/>
        </w:rPr>
        <w:t xml:space="preserve">Brockwell and Davis </w:t>
      </w:r>
      <w:r w:rsidRPr="00291EE6">
        <w:rPr>
          <w:lang w:val="en-US"/>
        </w:rPr>
        <w:t>Time Series: Theory and Methods</w:t>
      </w:r>
      <w:r>
        <w:rPr>
          <w:lang w:val="en-US"/>
        </w:rPr>
        <w:t xml:space="preserve"> 1991</w:t>
      </w:r>
      <w:r w:rsidR="006D471F">
        <w:rPr>
          <w:lang w:val="en-US"/>
        </w:rPr>
        <w:t xml:space="preserve"> </w:t>
      </w:r>
      <w:hyperlink r:id="rId11" w:history="1">
        <w:r w:rsidR="006D471F">
          <w:rPr>
            <w:rStyle w:val="Hyperlink"/>
          </w:rPr>
          <w:t>Brockwell &amp; Davis Data Files</w:t>
        </w:r>
      </w:hyperlink>
      <w:r w:rsidR="006D471F">
        <w:t xml:space="preserve"> </w:t>
      </w:r>
      <w:r w:rsidR="006D471F" w:rsidRPr="006D471F">
        <w:t>http://users.stat.umn.edu/~kb/classes/5932/BDFiles.html</w:t>
      </w:r>
    </w:p>
    <w:p w14:paraId="70B8862E" w14:textId="77777777" w:rsidR="00291EE6" w:rsidRDefault="00291EE6" w:rsidP="00291EE6">
      <w:pPr>
        <w:rPr>
          <w:lang w:val="en-US"/>
        </w:rPr>
      </w:pPr>
      <w:r w:rsidRPr="00291EE6">
        <w:rPr>
          <w:lang w:val="en-US"/>
        </w:rPr>
        <w:t>Population of the U.S.A. at ten-year intervals, 1 790- 1980</w:t>
      </w:r>
      <w:r>
        <w:rPr>
          <w:lang w:val="en-US"/>
        </w:rPr>
        <w:t xml:space="preserve"> - </w:t>
      </w:r>
      <w:r w:rsidRPr="00291EE6">
        <w:rPr>
          <w:lang w:val="en-US"/>
        </w:rPr>
        <w:t>the second to a</w:t>
      </w:r>
      <w:r>
        <w:rPr>
          <w:lang w:val="en-US"/>
        </w:rPr>
        <w:t xml:space="preserve"> </w:t>
      </w:r>
      <w:r w:rsidRPr="00291EE6">
        <w:rPr>
          <w:lang w:val="en-US"/>
        </w:rPr>
        <w:t xml:space="preserve">roughly exponentially increasing graph, </w:t>
      </w:r>
    </w:p>
    <w:p w14:paraId="48E0578F" w14:textId="5AB159B0" w:rsidR="00291EE6" w:rsidRDefault="00291EE6" w:rsidP="00291EE6">
      <w:pPr>
        <w:rPr>
          <w:lang w:val="en-US"/>
        </w:rPr>
      </w:pPr>
      <w:r w:rsidRPr="00291EE6">
        <w:rPr>
          <w:lang w:val="en-US"/>
        </w:rPr>
        <w:lastRenderedPageBreak/>
        <w:t>the third to a graph which fluctuates</w:t>
      </w:r>
      <w:r>
        <w:rPr>
          <w:lang w:val="en-US"/>
        </w:rPr>
        <w:t xml:space="preserve"> </w:t>
      </w:r>
      <w:r w:rsidRPr="00291EE6">
        <w:rPr>
          <w:lang w:val="en-US"/>
        </w:rPr>
        <w:t>erratically about a nearly constant or slowly rising level, Strikes in the U.S.A., 1 95 1 - 1 980 (Bureau of Labor Statistics, U.S. Labor</w:t>
      </w:r>
      <w:r>
        <w:rPr>
          <w:lang w:val="en-US"/>
        </w:rPr>
        <w:t xml:space="preserve"> </w:t>
      </w:r>
      <w:r w:rsidRPr="00291EE6">
        <w:rPr>
          <w:lang w:val="en-US"/>
        </w:rPr>
        <w:t>Department).</w:t>
      </w:r>
    </w:p>
    <w:p w14:paraId="4EDB8D4E" w14:textId="14E9F8F7" w:rsidR="00291EE6" w:rsidRDefault="00291EE6" w:rsidP="00291EE6">
      <w:pPr>
        <w:rPr>
          <w:lang w:val="en-US"/>
        </w:rPr>
      </w:pPr>
      <w:r w:rsidRPr="00291EE6">
        <w:rPr>
          <w:lang w:val="en-US"/>
        </w:rPr>
        <w:t>the fourth to an</w:t>
      </w:r>
      <w:r>
        <w:rPr>
          <w:lang w:val="en-US"/>
        </w:rPr>
        <w:t xml:space="preserve"> </w:t>
      </w:r>
      <w:r w:rsidRPr="00291EE6">
        <w:rPr>
          <w:lang w:val="en-US"/>
        </w:rPr>
        <w:t>erratic series of minus ones and ones. All-star baseball games, 1933 - 1 980.</w:t>
      </w:r>
    </w:p>
    <w:p w14:paraId="16F88711" w14:textId="59A9FE46" w:rsidR="00291EE6" w:rsidRDefault="00291EE6" w:rsidP="00291EE6">
      <w:pPr>
        <w:rPr>
          <w:lang w:val="en-US"/>
        </w:rPr>
      </w:pPr>
      <w:r w:rsidRPr="00291EE6">
        <w:rPr>
          <w:lang w:val="en-US"/>
        </w:rPr>
        <w:t>The fifth graph appears to have a strong</w:t>
      </w:r>
      <w:r>
        <w:rPr>
          <w:lang w:val="en-US"/>
        </w:rPr>
        <w:t xml:space="preserve"> </w:t>
      </w:r>
      <w:r w:rsidRPr="00291EE6">
        <w:rPr>
          <w:lang w:val="en-US"/>
        </w:rPr>
        <w:t xml:space="preserve">cyclic component with period about 11 years The Wolfer sunspot numbers, 1770- </w:t>
      </w:r>
      <w:r>
        <w:rPr>
          <w:lang w:val="en-US"/>
        </w:rPr>
        <w:t>1</w:t>
      </w:r>
      <w:r w:rsidRPr="00291EE6">
        <w:rPr>
          <w:lang w:val="en-US"/>
        </w:rPr>
        <w:t>869.</w:t>
      </w:r>
    </w:p>
    <w:p w14:paraId="48989648" w14:textId="1BAED014" w:rsidR="00291EE6" w:rsidRDefault="00291EE6" w:rsidP="00291EE6">
      <w:pPr>
        <w:rPr>
          <w:lang w:val="en-US"/>
        </w:rPr>
      </w:pPr>
      <w:r w:rsidRPr="00291EE6">
        <w:rPr>
          <w:lang w:val="en-US"/>
        </w:rPr>
        <w:t>and the last has a pronounced</w:t>
      </w:r>
      <w:r>
        <w:rPr>
          <w:lang w:val="en-US"/>
        </w:rPr>
        <w:t xml:space="preserve"> </w:t>
      </w:r>
      <w:r w:rsidRPr="00291EE6">
        <w:rPr>
          <w:lang w:val="en-US"/>
        </w:rPr>
        <w:t>seasonal component with period 12.</w:t>
      </w:r>
      <w:r w:rsidRPr="00291EE6">
        <w:t xml:space="preserve"> </w:t>
      </w:r>
      <w:r w:rsidRPr="00291EE6">
        <w:rPr>
          <w:lang w:val="en-US"/>
        </w:rPr>
        <w:t>Monthly accidental deaths in the U.S.A., 1 973 - 1 978 (National Safety</w:t>
      </w:r>
      <w:r>
        <w:rPr>
          <w:lang w:val="en-US"/>
        </w:rPr>
        <w:t xml:space="preserve"> </w:t>
      </w:r>
      <w:r w:rsidRPr="00291EE6">
        <w:rPr>
          <w:lang w:val="en-US"/>
        </w:rPr>
        <w:t>Council).</w:t>
      </w:r>
      <w:r w:rsidRPr="00291EE6">
        <w:t xml:space="preserve"> </w:t>
      </w:r>
      <w:r w:rsidRPr="00291EE6">
        <w:rPr>
          <w:lang w:val="en-US"/>
        </w:rPr>
        <w:t>The Small Trend</w:t>
      </w:r>
    </w:p>
    <w:p w14:paraId="1C714BE3" w14:textId="0647A262" w:rsidR="00291EE6" w:rsidRDefault="00291EE6" w:rsidP="00291EE6">
      <w:pPr>
        <w:rPr>
          <w:lang w:val="en-US"/>
        </w:rPr>
      </w:pPr>
      <w:r w:rsidRPr="00291EE6">
        <w:rPr>
          <w:lang w:val="en-US"/>
        </w:rPr>
        <w:t xml:space="preserve">International airline passengers; monthly totals in </w:t>
      </w:r>
      <w:proofErr w:type="spellStart"/>
      <w:r w:rsidRPr="00291EE6">
        <w:rPr>
          <w:lang w:val="en-US"/>
        </w:rPr>
        <w:t>tlrousands</w:t>
      </w:r>
      <w:proofErr w:type="spellEnd"/>
      <w:r w:rsidRPr="00291EE6">
        <w:rPr>
          <w:lang w:val="en-US"/>
        </w:rPr>
        <w:t xml:space="preserve"> of passengers</w:t>
      </w:r>
      <w:r>
        <w:rPr>
          <w:lang w:val="en-US"/>
        </w:rPr>
        <w:t xml:space="preserve"> </w:t>
      </w:r>
      <w:proofErr w:type="gramStart"/>
      <w:r w:rsidRPr="00291EE6">
        <w:rPr>
          <w:lang w:val="en-US"/>
        </w:rPr>
        <w:t>{ U</w:t>
      </w:r>
      <w:proofErr w:type="gramEnd"/>
      <w:r w:rsidRPr="00291EE6">
        <w:rPr>
          <w:lang w:val="en-US"/>
        </w:rPr>
        <w:t>, t = I , . . . , 144} from January 1949 to December 1960 (Box and Jenkins ( 1970)).</w:t>
      </w:r>
      <w:r>
        <w:rPr>
          <w:lang w:val="en-US"/>
        </w:rPr>
        <w:t xml:space="preserve"> Regular and seasonal stochastic trend</w:t>
      </w:r>
    </w:p>
    <w:p w14:paraId="3EDD21A1" w14:textId="4460008B" w:rsidR="00291EE6" w:rsidRDefault="00291EE6" w:rsidP="00291EE6">
      <w:pPr>
        <w:rPr>
          <w:lang w:val="en-US"/>
        </w:rPr>
      </w:pPr>
    </w:p>
    <w:p w14:paraId="3201B348" w14:textId="56CB33A0" w:rsidR="00291EE6" w:rsidRDefault="00291EE6" w:rsidP="00291EE6">
      <w:pPr>
        <w:rPr>
          <w:lang w:val="en-US"/>
        </w:rPr>
      </w:pPr>
      <w:r w:rsidRPr="00291EE6">
        <w:rPr>
          <w:lang w:val="en-US"/>
        </w:rPr>
        <w:t>Peter J. Brockwell Richard A. Davis</w:t>
      </w:r>
      <w:r>
        <w:rPr>
          <w:lang w:val="en-US"/>
        </w:rPr>
        <w:t xml:space="preserve"> – </w:t>
      </w:r>
      <w:r w:rsidRPr="00291EE6">
        <w:rPr>
          <w:lang w:val="en-US"/>
        </w:rPr>
        <w:t>Introduction</w:t>
      </w:r>
      <w:r>
        <w:rPr>
          <w:lang w:val="en-US"/>
        </w:rPr>
        <w:t xml:space="preserve"> </w:t>
      </w:r>
      <w:r w:rsidRPr="00291EE6">
        <w:rPr>
          <w:lang w:val="en-US"/>
        </w:rPr>
        <w:t>to Time Series</w:t>
      </w:r>
      <w:r>
        <w:rPr>
          <w:lang w:val="en-US"/>
        </w:rPr>
        <w:t xml:space="preserve"> </w:t>
      </w:r>
      <w:r w:rsidRPr="00291EE6">
        <w:rPr>
          <w:lang w:val="en-US"/>
        </w:rPr>
        <w:t>and Forecasting</w:t>
      </w:r>
      <w:r>
        <w:rPr>
          <w:lang w:val="en-US"/>
        </w:rPr>
        <w:t xml:space="preserve"> </w:t>
      </w:r>
      <w:r w:rsidRPr="00291EE6">
        <w:rPr>
          <w:lang w:val="en-US"/>
        </w:rPr>
        <w:t>Second Edition</w:t>
      </w:r>
    </w:p>
    <w:p w14:paraId="4C886EE5" w14:textId="0EFFC66C" w:rsidR="000A26E5" w:rsidRDefault="000A26E5" w:rsidP="000A26E5">
      <w:pPr>
        <w:rPr>
          <w:lang w:val="en-US"/>
        </w:rPr>
      </w:pPr>
      <w:r w:rsidRPr="000A26E5">
        <w:rPr>
          <w:lang w:val="en-US"/>
        </w:rPr>
        <w:t>Monthly</w:t>
      </w:r>
      <w:r>
        <w:rPr>
          <w:lang w:val="en-US"/>
        </w:rPr>
        <w:t xml:space="preserve"> </w:t>
      </w:r>
      <w:r w:rsidRPr="000A26E5">
        <w:rPr>
          <w:lang w:val="en-US"/>
        </w:rPr>
        <w:t>accidental deaths</w:t>
      </w:r>
      <w:r>
        <w:rPr>
          <w:lang w:val="en-US"/>
        </w:rPr>
        <w:t xml:space="preserve"> regular and seasonal unit root</w:t>
      </w:r>
    </w:p>
    <w:p w14:paraId="056BDA28" w14:textId="159CD77F" w:rsidR="00DE5F4B" w:rsidRDefault="00DE5F4B" w:rsidP="000A26E5">
      <w:pPr>
        <w:rPr>
          <w:lang w:val="en-US"/>
        </w:rPr>
      </w:pPr>
    </w:p>
    <w:p w14:paraId="3D03E7FF" w14:textId="59E7F8B4" w:rsidR="00DE5F4B" w:rsidRDefault="00DE5F4B" w:rsidP="000A26E5">
      <w:pPr>
        <w:rPr>
          <w:lang w:val="en-US"/>
        </w:rPr>
      </w:pPr>
    </w:p>
    <w:p w14:paraId="333CEDC7" w14:textId="437AC3B5" w:rsidR="00DE5F4B" w:rsidRDefault="00DE5F4B" w:rsidP="000A26E5">
      <w:pPr>
        <w:rPr>
          <w:lang w:val="en-US"/>
        </w:rPr>
      </w:pPr>
    </w:p>
    <w:p w14:paraId="371255DE" w14:textId="495A07FF" w:rsidR="00DE5F4B" w:rsidRDefault="00DE5F4B" w:rsidP="000A26E5">
      <w:r>
        <w:rPr>
          <w:lang w:val="en-US"/>
        </w:rPr>
        <w:t xml:space="preserve">Bai-Perron: </w:t>
      </w:r>
      <w:r>
        <w:rPr>
          <w:rFonts w:ascii="Open Sans" w:hAnsi="Open Sans" w:cs="Open Sans"/>
          <w:color w:val="1C1D1E"/>
          <w:sz w:val="21"/>
          <w:szCs w:val="21"/>
          <w:shd w:val="clear" w:color="auto" w:fill="FFFFFF"/>
        </w:rPr>
        <w:t>Bai, J. and Perron, P. (2003), Computation and analysis of multiple structural change models. J. Appl. Econ., 18: 1-22. </w:t>
      </w:r>
      <w:hyperlink r:id="rId12" w:history="1">
        <w:r>
          <w:rPr>
            <w:rStyle w:val="Hyperlink"/>
            <w:rFonts w:ascii="Open Sans" w:hAnsi="Open Sans" w:cs="Open Sans"/>
            <w:color w:val="123D80"/>
            <w:sz w:val="21"/>
            <w:szCs w:val="21"/>
            <w:shd w:val="clear" w:color="auto" w:fill="FFFFFF"/>
          </w:rPr>
          <w:t>https://doi.org/10.1002/jae.659</w:t>
        </w:r>
      </w:hyperlink>
    </w:p>
    <w:p w14:paraId="57B2DD7B" w14:textId="16D2FBCB" w:rsidR="00DE5F4B" w:rsidRDefault="00DE5F4B" w:rsidP="000A26E5">
      <w:pPr>
        <w:rPr>
          <w:lang w:val="en-US"/>
        </w:rPr>
      </w:pPr>
      <w:r w:rsidRPr="00DE5F4B">
        <w:rPr>
          <w:lang w:val="en-US"/>
        </w:rPr>
        <w:t>US ex-post real interest rate 1961:1–1986:3</w:t>
      </w:r>
      <w:r>
        <w:rPr>
          <w:lang w:val="en-US"/>
        </w:rPr>
        <w:t xml:space="preserve"> </w:t>
      </w:r>
      <w:r w:rsidRPr="00DE5F4B">
        <w:rPr>
          <w:lang w:val="en-US"/>
        </w:rPr>
        <w:t>The break dates are estimated at 1966:4, 1972:3 and 1980:3.</w:t>
      </w:r>
    </w:p>
    <w:p w14:paraId="1A56E953" w14:textId="1480A7EF" w:rsidR="00DE5F4B" w:rsidRDefault="00DE5F4B" w:rsidP="000A26E5">
      <w:pPr>
        <w:rPr>
          <w:lang w:val="en-US"/>
        </w:rPr>
      </w:pPr>
      <w:r w:rsidRPr="00DE5F4B">
        <w:rPr>
          <w:highlight w:val="yellow"/>
          <w:lang w:val="en-US"/>
        </w:rPr>
        <w:t>POST-war UK inflation rate 1947–1987</w:t>
      </w:r>
      <w:r>
        <w:rPr>
          <w:lang w:val="en-US"/>
        </w:rPr>
        <w:t xml:space="preserve"> </w:t>
      </w:r>
      <w:r w:rsidRPr="00DE5F4B">
        <w:rPr>
          <w:lang w:val="en-US"/>
        </w:rPr>
        <w:t>The first break date is the same as in the one-break model, namely 1967, which is linked to the end of the Bretton Woods system. The second break is located in 1975.</w:t>
      </w:r>
    </w:p>
    <w:p w14:paraId="26B72B1B" w14:textId="1AC20998" w:rsidR="00DE5F4B" w:rsidRDefault="00932C97" w:rsidP="000A26E5">
      <w:pPr>
        <w:rPr>
          <w:lang w:val="en-US"/>
        </w:rPr>
      </w:pPr>
      <w:r w:rsidRPr="00DE5F4B">
        <w:rPr>
          <w:lang w:val="en-US"/>
        </w:rPr>
        <w:t xml:space="preserve">Eric </w:t>
      </w:r>
      <w:proofErr w:type="spellStart"/>
      <w:r w:rsidRPr="00DE5F4B">
        <w:rPr>
          <w:lang w:val="en-US"/>
        </w:rPr>
        <w:t>Zivot</w:t>
      </w:r>
      <w:proofErr w:type="spellEnd"/>
      <w:r w:rsidRPr="00DE5F4B">
        <w:rPr>
          <w:lang w:val="en-US"/>
        </w:rPr>
        <w:t xml:space="preserve"> and Donald W. K. Andrews</w:t>
      </w:r>
      <w:r>
        <w:rPr>
          <w:lang w:val="en-US"/>
        </w:rPr>
        <w:t xml:space="preserve">, </w:t>
      </w:r>
      <w:r w:rsidR="00DE5F4B" w:rsidRPr="00DE5F4B">
        <w:rPr>
          <w:lang w:val="en-US"/>
        </w:rPr>
        <w:t>Further Evidence on the Great Crash, the Oil-Price Shock, and the Unit-Root</w:t>
      </w:r>
      <w:r>
        <w:rPr>
          <w:lang w:val="en-US"/>
        </w:rPr>
        <w:t xml:space="preserve"> </w:t>
      </w:r>
      <w:r w:rsidR="00DE5F4B" w:rsidRPr="00DE5F4B">
        <w:rPr>
          <w:lang w:val="en-US"/>
        </w:rPr>
        <w:t>Hypothesis</w:t>
      </w:r>
      <w:r>
        <w:rPr>
          <w:lang w:val="en-US"/>
        </w:rPr>
        <w:t xml:space="preserve">, </w:t>
      </w:r>
      <w:r w:rsidR="00DE5F4B" w:rsidRPr="00DE5F4B">
        <w:rPr>
          <w:lang w:val="en-US"/>
        </w:rPr>
        <w:t xml:space="preserve">Journal of Business &amp; Economic </w:t>
      </w:r>
      <w:proofErr w:type="gramStart"/>
      <w:r w:rsidR="00DE5F4B" w:rsidRPr="00DE5F4B">
        <w:rPr>
          <w:lang w:val="en-US"/>
        </w:rPr>
        <w:t>Statistics ,</w:t>
      </w:r>
      <w:proofErr w:type="gramEnd"/>
      <w:r w:rsidR="00DE5F4B" w:rsidRPr="00DE5F4B">
        <w:rPr>
          <w:lang w:val="en-US"/>
        </w:rPr>
        <w:t xml:space="preserve"> Jul., 1992, Vol. 10, No. 3 (Jul., 1992),pp. 251-270</w:t>
      </w:r>
    </w:p>
    <w:p w14:paraId="20F6CFCE" w14:textId="7E8F5792" w:rsidR="00932C97" w:rsidRDefault="004271CA" w:rsidP="000A26E5">
      <w:pPr>
        <w:rPr>
          <w:lang w:val="en-US"/>
        </w:rPr>
      </w:pPr>
      <w:hyperlink r:id="rId13" w:history="1">
        <w:r w:rsidR="00932C97">
          <w:rPr>
            <w:rStyle w:val="Hyperlink"/>
          </w:rPr>
          <w:t>jstor.org/stable/pdf/1391541.pdf?refreqid=fastly-default%3A12d20c0e8bcfe309f5aa55679e859d51&amp;ab_segments=&amp;initiator=&amp;acceptTC=1</w:t>
        </w:r>
      </w:hyperlink>
    </w:p>
    <w:p w14:paraId="660242CB" w14:textId="5177B592" w:rsidR="00932C97" w:rsidRDefault="00932C97" w:rsidP="000A26E5">
      <w:pPr>
        <w:rPr>
          <w:lang w:val="en-US"/>
        </w:rPr>
      </w:pPr>
      <w:r w:rsidRPr="00932C97">
        <w:rPr>
          <w:noProof/>
          <w:lang w:val="en-US"/>
        </w:rPr>
        <w:lastRenderedPageBreak/>
        <w:drawing>
          <wp:inline distT="0" distB="0" distL="0" distR="0" wp14:anchorId="42BEF59C" wp14:editId="45651231">
            <wp:extent cx="5731510" cy="38252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7EB9" w14:textId="136C80E5" w:rsidR="00932C97" w:rsidRDefault="00932C97" w:rsidP="000A26E5">
      <w:pPr>
        <w:rPr>
          <w:lang w:val="en-US"/>
        </w:rPr>
      </w:pPr>
      <w:r w:rsidRPr="00932C97">
        <w:rPr>
          <w:noProof/>
          <w:lang w:val="en-US"/>
        </w:rPr>
        <w:lastRenderedPageBreak/>
        <w:drawing>
          <wp:inline distT="0" distB="0" distL="0" distR="0" wp14:anchorId="3D7439CF" wp14:editId="6AD89F84">
            <wp:extent cx="5731510" cy="5779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8112" w14:textId="77777777" w:rsidR="00932C97" w:rsidRDefault="00932C97" w:rsidP="000A26E5">
      <w:pPr>
        <w:rPr>
          <w:lang w:val="en-US"/>
        </w:rPr>
      </w:pPr>
    </w:p>
    <w:p w14:paraId="69ECE31E" w14:textId="0946C6A8" w:rsidR="00DE5F4B" w:rsidRDefault="00932C97" w:rsidP="000A26E5">
      <w:r>
        <w:rPr>
          <w:lang w:val="en-US"/>
        </w:rPr>
        <w:t xml:space="preserve">Chow test: </w:t>
      </w:r>
      <w:hyperlink r:id="rId16" w:history="1">
        <w:r w:rsidRPr="00C51F5F">
          <w:rPr>
            <w:rStyle w:val="Hyperlink"/>
          </w:rPr>
          <w:t>https://web.archive.org/web/20191228155733/http://pdfs.semanticscholar.org/0f70/219160c8ad2f9db02e226d3f7d7320e729b8.pdf</w:t>
        </w:r>
      </w:hyperlink>
    </w:p>
    <w:p w14:paraId="0482105D" w14:textId="6EBB2CA5" w:rsidR="00932C97" w:rsidRDefault="00932C97" w:rsidP="000A26E5">
      <w:pPr>
        <w:rPr>
          <w:lang w:val="en-US"/>
        </w:rPr>
      </w:pPr>
      <w:proofErr w:type="spellStart"/>
      <w:r w:rsidRPr="00932C97">
        <w:rPr>
          <w:lang w:val="en-US"/>
        </w:rPr>
        <w:t>RegressionsGregory</w:t>
      </w:r>
      <w:proofErr w:type="spellEnd"/>
      <w:r w:rsidRPr="00932C97">
        <w:rPr>
          <w:lang w:val="en-US"/>
        </w:rPr>
        <w:t xml:space="preserve"> C. Chow</w:t>
      </w:r>
      <w:r>
        <w:rPr>
          <w:lang w:val="en-US"/>
        </w:rPr>
        <w:t xml:space="preserve">, </w:t>
      </w:r>
      <w:r w:rsidRPr="00932C97">
        <w:rPr>
          <w:lang w:val="en-US"/>
        </w:rPr>
        <w:t>Tests of Equality Between Sets of Coefficients in Two Linear</w:t>
      </w:r>
      <w:r>
        <w:rPr>
          <w:lang w:val="en-US"/>
        </w:rPr>
        <w:t xml:space="preserve">, </w:t>
      </w:r>
      <w:proofErr w:type="spellStart"/>
      <w:r w:rsidRPr="00932C97">
        <w:rPr>
          <w:lang w:val="en-US"/>
        </w:rPr>
        <w:t>Econometrica</w:t>
      </w:r>
      <w:proofErr w:type="spellEnd"/>
      <w:r w:rsidRPr="00932C97">
        <w:rPr>
          <w:lang w:val="en-US"/>
        </w:rPr>
        <w:t>, Vol. 28, No. 3. (Jul., 1960), pp. 591-605.</w:t>
      </w:r>
    </w:p>
    <w:p w14:paraId="1DAC9A1F" w14:textId="5E009D0D" w:rsidR="00932C97" w:rsidRDefault="00932C97" w:rsidP="000A26E5">
      <w:pPr>
        <w:rPr>
          <w:lang w:val="en-US"/>
        </w:rPr>
      </w:pPr>
      <w:r w:rsidRPr="00932C97">
        <w:rPr>
          <w:noProof/>
          <w:lang w:val="en-US"/>
        </w:rPr>
        <w:lastRenderedPageBreak/>
        <w:drawing>
          <wp:inline distT="0" distB="0" distL="0" distR="0" wp14:anchorId="19ECF973" wp14:editId="738F5D71">
            <wp:extent cx="5731510" cy="39008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63B" w14:textId="6FB4BF72" w:rsidR="00932C97" w:rsidRDefault="00932C97" w:rsidP="000A26E5">
      <w:pPr>
        <w:rPr>
          <w:lang w:val="en-US"/>
        </w:rPr>
      </w:pPr>
      <w:r w:rsidRPr="00932C97">
        <w:rPr>
          <w:noProof/>
          <w:lang w:val="en-US"/>
        </w:rPr>
        <w:drawing>
          <wp:inline distT="0" distB="0" distL="0" distR="0" wp14:anchorId="725B174D" wp14:editId="43214DDC">
            <wp:extent cx="5731510" cy="15519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600B" w14:textId="77777777" w:rsidR="00932C97" w:rsidRDefault="00932C97" w:rsidP="000A26E5">
      <w:pPr>
        <w:rPr>
          <w:lang w:val="en-US"/>
        </w:rPr>
      </w:pPr>
    </w:p>
    <w:p w14:paraId="707A078D" w14:textId="62E787FE" w:rsidR="00DE5F4B" w:rsidRDefault="004271CA" w:rsidP="000A26E5">
      <w:pPr>
        <w:rPr>
          <w:lang w:val="en-US"/>
        </w:rPr>
      </w:pPr>
      <w:hyperlink r:id="rId19" w:history="1">
        <w:r w:rsidR="00932C97" w:rsidRPr="00C51F5F">
          <w:rPr>
            <w:rStyle w:val="Hyperlink"/>
            <w:lang w:val="en-US"/>
          </w:rPr>
          <w:t>https://arxiv.org/pdf/2601.02957v3</w:t>
        </w:r>
      </w:hyperlink>
      <w:r w:rsidR="00932C97">
        <w:rPr>
          <w:lang w:val="en-US"/>
        </w:rPr>
        <w:t xml:space="preserve">  </w:t>
      </w:r>
    </w:p>
    <w:p w14:paraId="6758FC9A" w14:textId="1C98834D" w:rsidR="00932C97" w:rsidRDefault="00932C97" w:rsidP="000A26E5">
      <w:pPr>
        <w:rPr>
          <w:lang w:val="en-US"/>
        </w:rPr>
      </w:pPr>
      <w:r w:rsidRPr="00932C97">
        <w:rPr>
          <w:noProof/>
          <w:lang w:val="en-US"/>
        </w:rPr>
        <w:lastRenderedPageBreak/>
        <w:drawing>
          <wp:inline distT="0" distB="0" distL="0" distR="0" wp14:anchorId="3CEC5B45" wp14:editId="527639E9">
            <wp:extent cx="4601217" cy="4782217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3833" w14:textId="561937DD" w:rsidR="00932C97" w:rsidRPr="00932C97" w:rsidRDefault="00932C97" w:rsidP="00932C97">
      <w:pPr>
        <w:rPr>
          <w:lang w:val="en-US"/>
        </w:rPr>
      </w:pPr>
      <w:r w:rsidRPr="00932C97">
        <w:rPr>
          <w:lang w:val="en-US"/>
        </w:rPr>
        <w:t xml:space="preserve">The datasets represent different types of </w:t>
      </w:r>
      <w:proofErr w:type="spellStart"/>
      <w:r w:rsidRPr="00932C97">
        <w:rPr>
          <w:lang w:val="en-US"/>
        </w:rPr>
        <w:t>realworld</w:t>
      </w:r>
      <w:proofErr w:type="spellEnd"/>
      <w:r w:rsidRPr="00932C97">
        <w:rPr>
          <w:lang w:val="en-US"/>
        </w:rPr>
        <w:t xml:space="preserve"> changepoints: Nile (annual river flow, 1871–1970) shows a mean shift when the Aswan Low</w:t>
      </w:r>
      <w:r>
        <w:rPr>
          <w:lang w:val="en-US"/>
        </w:rPr>
        <w:t xml:space="preserve"> </w:t>
      </w:r>
      <w:r w:rsidRPr="00932C97">
        <w:rPr>
          <w:lang w:val="en-US"/>
        </w:rPr>
        <w:t>Dam construction began in 1898 (Cobb,</w:t>
      </w:r>
      <w:r>
        <w:rPr>
          <w:lang w:val="en-US"/>
        </w:rPr>
        <w:t xml:space="preserve"> </w:t>
      </w:r>
      <w:r w:rsidRPr="00932C97">
        <w:rPr>
          <w:lang w:val="en-US"/>
        </w:rPr>
        <w:t>1978);</w:t>
      </w:r>
      <w:r w:rsidR="004271CA">
        <w:rPr>
          <w:lang w:val="en-US"/>
        </w:rPr>
        <w:t xml:space="preserve"> </w:t>
      </w:r>
      <w:r w:rsidRPr="00932C97">
        <w:rPr>
          <w:lang w:val="en-US"/>
        </w:rPr>
        <w:t>Seatbelts (monthly UK road casualties, 1976–</w:t>
      </w:r>
      <w:r>
        <w:rPr>
          <w:lang w:val="en-US"/>
        </w:rPr>
        <w:t xml:space="preserve"> </w:t>
      </w:r>
      <w:r w:rsidRPr="00932C97">
        <w:rPr>
          <w:lang w:val="en-US"/>
        </w:rPr>
        <w:t>1984) exhibits a sudden drop following the 1983</w:t>
      </w:r>
    </w:p>
    <w:p w14:paraId="21F1EAC7" w14:textId="3D93B0A7" w:rsidR="00932C97" w:rsidRDefault="00932C97" w:rsidP="008736EE">
      <w:pPr>
        <w:rPr>
          <w:lang w:val="en-US"/>
        </w:rPr>
      </w:pPr>
      <w:r w:rsidRPr="00932C97">
        <w:rPr>
          <w:lang w:val="en-US"/>
        </w:rPr>
        <w:t>compulsory seatbelt law (Harvey and Durbin,</w:t>
      </w:r>
      <w:r>
        <w:rPr>
          <w:lang w:val="en-US"/>
        </w:rPr>
        <w:t xml:space="preserve"> </w:t>
      </w:r>
      <w:r w:rsidRPr="00932C97">
        <w:rPr>
          <w:lang w:val="en-US"/>
        </w:rPr>
        <w:t>1986); LGA (monthly LaGuardia Airport passengers, 1977–2015) captures the immediate and sustained impact of the September 11 attacks on air</w:t>
      </w:r>
      <w:r>
        <w:rPr>
          <w:lang w:val="en-US"/>
        </w:rPr>
        <w:t xml:space="preserve"> </w:t>
      </w:r>
      <w:r w:rsidRPr="00932C97">
        <w:rPr>
          <w:lang w:val="en-US"/>
        </w:rPr>
        <w:t>travel (Ito and Lee, 2005); Ireland Debt (annual</w:t>
      </w:r>
      <w:r>
        <w:rPr>
          <w:lang w:val="en-US"/>
        </w:rPr>
        <w:t xml:space="preserve"> </w:t>
      </w:r>
      <w:r w:rsidRPr="00932C97">
        <w:rPr>
          <w:lang w:val="en-US"/>
        </w:rPr>
        <w:t>debt-to-GDP ratio, 2000–2020) shows the dramatic</w:t>
      </w:r>
      <w:r>
        <w:rPr>
          <w:lang w:val="en-US"/>
        </w:rPr>
        <w:t xml:space="preserve"> </w:t>
      </w:r>
      <w:r w:rsidRPr="00932C97">
        <w:rPr>
          <w:lang w:val="en-US"/>
        </w:rPr>
        <w:t xml:space="preserve">surge following the 2008 banking crisis and subsequent bailout (Lane, 2011); Ozone (annual Antarctic </w:t>
      </w:r>
      <w:r>
        <w:rPr>
          <w:lang w:val="en-US"/>
        </w:rPr>
        <w:t xml:space="preserve"> </w:t>
      </w:r>
      <w:r w:rsidRPr="00932C97">
        <w:rPr>
          <w:lang w:val="en-US"/>
        </w:rPr>
        <w:t>zone measurements, 1961–2014) marks the</w:t>
      </w:r>
      <w:r>
        <w:rPr>
          <w:lang w:val="en-US"/>
        </w:rPr>
        <w:t xml:space="preserve"> </w:t>
      </w:r>
      <w:r w:rsidRPr="00932C97">
        <w:rPr>
          <w:lang w:val="en-US"/>
        </w:rPr>
        <w:t>reversal point when Montreal Protocol effects began (Solomon et al., 2016); Robocalls (monthly</w:t>
      </w:r>
      <w:r>
        <w:rPr>
          <w:lang w:val="en-US"/>
        </w:rPr>
        <w:t xml:space="preserve"> </w:t>
      </w:r>
      <w:r w:rsidRPr="00932C97">
        <w:rPr>
          <w:lang w:val="en-US"/>
        </w:rPr>
        <w:t>US call volume, 2015–2019) increases sharply after</w:t>
      </w:r>
      <w:r>
        <w:rPr>
          <w:lang w:val="en-US"/>
        </w:rPr>
        <w:t xml:space="preserve"> </w:t>
      </w:r>
      <w:r w:rsidRPr="00932C97">
        <w:rPr>
          <w:lang w:val="en-US"/>
        </w:rPr>
        <w:t>a 2018 federal court ruling loosened FCC restrictions; and Japan Nuclear (annual nuclear share</w:t>
      </w:r>
      <w:r>
        <w:rPr>
          <w:lang w:val="en-US"/>
        </w:rPr>
        <w:t xml:space="preserve"> </w:t>
      </w:r>
      <w:r w:rsidRPr="00932C97">
        <w:rPr>
          <w:lang w:val="en-US"/>
        </w:rPr>
        <w:t>of electricity, 1985–2024) drops precipitously after</w:t>
      </w:r>
      <w:r>
        <w:rPr>
          <w:lang w:val="en-US"/>
        </w:rPr>
        <w:t xml:space="preserve"> </w:t>
      </w:r>
      <w:r w:rsidRPr="00932C97">
        <w:rPr>
          <w:lang w:val="en-US"/>
        </w:rPr>
        <w:t>the 2011 Fukushima disaster led to reactor shutdowns (Hayashi and Hughes, 2013).</w:t>
      </w:r>
      <w:r w:rsidR="008736EE">
        <w:rPr>
          <w:lang w:val="en-US"/>
        </w:rPr>
        <w:t xml:space="preserve"> </w:t>
      </w:r>
      <w:r w:rsidR="008736EE" w:rsidRPr="008736EE">
        <w:rPr>
          <w:lang w:val="en-US"/>
        </w:rPr>
        <w:t>Most datasets</w:t>
      </w:r>
      <w:r w:rsidR="008736EE">
        <w:rPr>
          <w:lang w:val="en-US"/>
        </w:rPr>
        <w:t xml:space="preserve"> </w:t>
      </w:r>
      <w:r w:rsidR="008736EE" w:rsidRPr="008736EE">
        <w:rPr>
          <w:lang w:val="en-US"/>
        </w:rPr>
        <w:t>are sourced from the Turing Change Point Dataset</w:t>
      </w:r>
      <w:r w:rsidR="008736EE">
        <w:rPr>
          <w:lang w:val="en-US"/>
        </w:rPr>
        <w:t xml:space="preserve"> </w:t>
      </w:r>
      <w:r w:rsidR="008736EE" w:rsidRPr="008736EE">
        <w:rPr>
          <w:lang w:val="en-US"/>
        </w:rPr>
        <w:t>(van den Burg and Williams, 2020).</w:t>
      </w:r>
      <w:r w:rsidR="008736EE">
        <w:rPr>
          <w:lang w:val="en-US"/>
        </w:rPr>
        <w:t xml:space="preserve"> </w:t>
      </w:r>
      <w:hyperlink r:id="rId21" w:history="1">
        <w:r w:rsidR="008736EE" w:rsidRPr="00C51F5F">
          <w:rPr>
            <w:rStyle w:val="Hyperlink"/>
          </w:rPr>
          <w:t>https://github.com/alan-turing-institute/TCPD/tree/master/datasets</w:t>
        </w:r>
      </w:hyperlink>
      <w:r w:rsidR="008736EE">
        <w:t xml:space="preserve"> </w:t>
      </w:r>
    </w:p>
    <w:p w14:paraId="4901A3E0" w14:textId="77777777" w:rsidR="000A26E5" w:rsidRDefault="000A26E5" w:rsidP="000A26E5">
      <w:pPr>
        <w:rPr>
          <w:lang w:val="en-US"/>
        </w:rPr>
      </w:pPr>
    </w:p>
    <w:p w14:paraId="5E7F5AB9" w14:textId="77777777" w:rsidR="000A26E5" w:rsidRDefault="000A26E5" w:rsidP="00291EE6">
      <w:pPr>
        <w:rPr>
          <w:lang w:val="en-US"/>
        </w:rPr>
      </w:pPr>
    </w:p>
    <w:p w14:paraId="6E803623" w14:textId="77777777" w:rsidR="00291EE6" w:rsidRDefault="00291EE6" w:rsidP="00291EE6">
      <w:pPr>
        <w:rPr>
          <w:lang w:val="en-US"/>
        </w:rPr>
      </w:pPr>
    </w:p>
    <w:p w14:paraId="77321063" w14:textId="77777777" w:rsidR="00EE06A8" w:rsidRPr="00911FD3" w:rsidRDefault="00EE06A8" w:rsidP="00911FD3">
      <w:pPr>
        <w:rPr>
          <w:lang w:val="en-US"/>
        </w:rPr>
      </w:pPr>
    </w:p>
    <w:sectPr w:rsidR="00EE06A8" w:rsidRPr="00911F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D3"/>
    <w:rsid w:val="000A26E5"/>
    <w:rsid w:val="001A12A0"/>
    <w:rsid w:val="00291EE6"/>
    <w:rsid w:val="004271CA"/>
    <w:rsid w:val="006C0E5B"/>
    <w:rsid w:val="006D471F"/>
    <w:rsid w:val="00844340"/>
    <w:rsid w:val="008736EE"/>
    <w:rsid w:val="00911FD3"/>
    <w:rsid w:val="00932C97"/>
    <w:rsid w:val="00BA0A19"/>
    <w:rsid w:val="00DE5F4B"/>
    <w:rsid w:val="00EE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9779"/>
  <w15:chartTrackingRefBased/>
  <w15:docId w15:val="{6779EDD2-AE6D-48EA-BFEE-2CBFF701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FD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jstor.org/stable/pdf/1391541.pdf?refreqid=fastly-default%3A12d20c0e8bcfe309f5aa55679e859d51&amp;ab_segments=&amp;initiator=&amp;acceptTC=1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hyperlink" Target="https://github.com/alan-turing-institute/TCPD/tree/master/dataset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i.org/10.1002/jae.659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web.archive.org/web/20191228155733/http://pdfs.semanticscholar.org/0f70/219160c8ad2f9db02e226d3f7d7320e729b8.pdf" TargetMode="External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www.time-series.net/data_sets" TargetMode="External"/><Relationship Id="rId11" Type="http://schemas.openxmlformats.org/officeDocument/2006/relationships/hyperlink" Target="http://users.stat.umn.edu/~kb/classes/5932/BDFiles.html" TargetMode="External"/><Relationship Id="rId5" Type="http://schemas.openxmlformats.org/officeDocument/2006/relationships/hyperlink" Target="http://www.jmulti.de/data_atse.html" TargetMode="Externa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arxiv.org/pdf/2601.02957v3" TargetMode="External"/><Relationship Id="rId4" Type="http://schemas.openxmlformats.org/officeDocument/2006/relationships/hyperlink" Target="http://www.jmulti.de/data_atse.html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Ceylan Yozgatligil</dc:creator>
  <cp:keywords/>
  <dc:description/>
  <cp:lastModifiedBy>Ceylan Yozgatligil</cp:lastModifiedBy>
  <cp:revision>6</cp:revision>
  <dcterms:created xsi:type="dcterms:W3CDTF">2026-04-23T07:16:00Z</dcterms:created>
  <dcterms:modified xsi:type="dcterms:W3CDTF">2026-04-23T10:24:00Z</dcterms:modified>
</cp:coreProperties>
</file>