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 ve Trafik Altında Saha Çalışma İzni</w:t>
      </w:r>
    </w:p>
    <w:p>
      <w:r>
        <w:rPr>
          <w:b/>
        </w:rPr>
        <w:t>PTW-030  |  Kullanım alanı: Şantiye, lojistik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Trafik planı ve saatleri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Bariyer yerleri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İşaretçi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Yaya araç ayrımı ile acil erişim sürekliliği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Araç ve yaya yönleri geçici trafik planıyla ayrıldı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Görüş mesafesi aydınlatma ve yaklaşma hızları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Geri manevra yükleme ve acil araç geçişi yönetildi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düzen sökülürken yolun güvenli iadesi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Bariyer ihlali; Görüş yetersizliği.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PTW-030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