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Gemi Tankı veya Bölmesinde Kapalı Alan Giriş İzni</w:t>
      </w:r>
    </w:p>
    <w:p>
      <w:r>
        <w:rPr>
          <w:b/>
        </w:rPr>
        <w:t>PTW-048  |  Kullanım alanı: Denizcilik, tersane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Tank ve güverte numarası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Giriş ve kaçış noktası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Kurtarma ekibi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Kaptan veya saha işletmecisi iş alanını ve gemi hareketini koordine etti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Giriş amiri, gözetçi ve kurtarma ekibi rolleri isimle belirlendi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Atmosfer ölçümü giriş öncesinde ve risk değerlendirmesinin öngördüğü aralıkta yapılacak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Havalandırma ve kurtarma ekipmanı girişten önce işletim kontrolünden geçti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envanteri ve fiziksel izolasyon noktaları çizim ile saha arasında eşleştirildi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Depolanmış enerji giderildi, sıfır enerji testinin kanıtı kayıt altına alındı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Kilitler yalnızca yetkili prosedüre göre uygulanıp kaldırılacak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Önceki yük ve tank yıkama kayıtları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Oksijen yanıcılık ve toksik atmosfer farklı seviyelerde ölçüldü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Gemi hareketi komşu yükleme ve transfer işleri durduruldu veya koordine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Dış gözetçi ve gemiye özgü kurtarma senaryosu hazırlandı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p>
      <w:r>
        <w:rPr>
          <w:b/>
        </w:rPr>
        <w:t>Atmosfer ölçümü ve giriş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Ölçüm seviyesi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O₂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%LEL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Toksik gaz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Cihaz ID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Ölçen</w:t>
            </w:r>
          </w:p>
        </w:tc>
      </w:tr>
      <w:tr>
        <w:trPr>
          <w:cantSplit/>
          <w:trHeight w:val="295" w:hRule="atLeast"/>
        </w:trPr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Giren personel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Giriş saati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Çıkış saati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Gözetçi teyidi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Kurtarma çağrı kanalı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Atmosfer kabul sınırları, cihaz kalibrasyonu, ölçüm yerleri ve sıklığı saha risk değerlendirmesine göre bu formda yazılır. Kurtarma düzeni doğrulanmadan giriş yapılmaz.</w:t>
      </w: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Gemi yük hareketi; Gaz veya havalandırma alarmı.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PTW-048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