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0C4B" w:rsidRDefault="00310C4B">
      <w:pPr>
        <w:pStyle w:val="line"/>
      </w:pPr>
    </w:p>
    <w:p w:rsidR="00310C4B" w:rsidRDefault="00310C4B">
      <w:pPr>
        <w:pStyle w:val="Title"/>
      </w:pPr>
      <w:r>
        <w:t>Software Requirements Specification</w:t>
      </w:r>
    </w:p>
    <w:p w:rsidR="00310C4B" w:rsidRDefault="00310C4B">
      <w:pPr>
        <w:pStyle w:val="Title"/>
        <w:spacing w:before="0" w:after="400"/>
        <w:rPr>
          <w:sz w:val="40"/>
        </w:rPr>
      </w:pPr>
      <w:r>
        <w:rPr>
          <w:sz w:val="40"/>
        </w:rPr>
        <w:t>for</w:t>
      </w:r>
    </w:p>
    <w:p w:rsidR="00310C4B" w:rsidRDefault="00861917">
      <w:pPr>
        <w:pStyle w:val="Title"/>
      </w:pPr>
      <w:r>
        <w:t>TaxEngine</w:t>
      </w:r>
    </w:p>
    <w:p w:rsidR="00310C4B" w:rsidRDefault="002C7FB1">
      <w:pPr>
        <w:pStyle w:val="ByLine"/>
      </w:pPr>
      <w:r>
        <w:t>Version 0.2.0</w:t>
      </w:r>
      <w:r w:rsidR="00310C4B">
        <w:t xml:space="preserve"> approved</w:t>
      </w:r>
    </w:p>
    <w:p w:rsidR="00310C4B" w:rsidRDefault="00861917">
      <w:pPr>
        <w:pStyle w:val="ByLine"/>
      </w:pPr>
      <w:r>
        <w:t>Prepared by K. Erkut Çiftlikçi</w:t>
      </w:r>
    </w:p>
    <w:p w:rsidR="00310C4B" w:rsidRDefault="00310C4B">
      <w:pPr>
        <w:pStyle w:val="ByLine"/>
      </w:pPr>
    </w:p>
    <w:p w:rsidR="00310C4B" w:rsidRDefault="000B101C">
      <w:pPr>
        <w:pStyle w:val="ByLine"/>
      </w:pPr>
      <w:r>
        <w:t>February 15</w:t>
      </w:r>
      <w:bookmarkStart w:id="0" w:name="_GoBack"/>
      <w:bookmarkEnd w:id="0"/>
      <w:r w:rsidR="00861917">
        <w:t>, 2026</w:t>
      </w:r>
    </w:p>
    <w:p w:rsidR="00310C4B" w:rsidRPr="00F33D2A" w:rsidRDefault="00310C4B">
      <w:pPr>
        <w:pStyle w:val="ChangeHistoryTitle"/>
        <w:sectPr w:rsidR="00310C4B" w:rsidRPr="00F33D2A">
          <w:footerReference w:type="default" r:id="rId8"/>
          <w:pgSz w:w="12240" w:h="15840" w:code="1"/>
          <w:pgMar w:top="1440" w:right="1440" w:bottom="1440" w:left="1440" w:header="720" w:footer="720" w:gutter="0"/>
          <w:pgNumType w:fmt="lowerRoman" w:start="1"/>
          <w:cols w:space="720"/>
        </w:sectPr>
      </w:pPr>
    </w:p>
    <w:p w:rsidR="00310C4B" w:rsidRPr="005F23D7" w:rsidRDefault="00310C4B">
      <w:pPr>
        <w:pStyle w:val="TOCEntry"/>
      </w:pPr>
      <w:bookmarkStart w:id="1" w:name="_Toc344877432"/>
      <w:bookmarkStart w:id="2" w:name="_Toc344879822"/>
      <w:bookmarkStart w:id="3" w:name="_Toc346508722"/>
      <w:bookmarkStart w:id="4" w:name="_Toc346508952"/>
      <w:bookmarkStart w:id="5" w:name="_Toc346509227"/>
      <w:bookmarkStart w:id="6" w:name="_Toc221813140"/>
      <w:bookmarkEnd w:id="1"/>
      <w:bookmarkEnd w:id="2"/>
      <w:bookmarkEnd w:id="3"/>
      <w:bookmarkEnd w:id="4"/>
      <w:bookmarkEnd w:id="5"/>
      <w:r w:rsidRPr="005F23D7">
        <w:lastRenderedPageBreak/>
        <w:t>Table of Contents</w:t>
      </w:r>
      <w:bookmarkEnd w:id="6"/>
    </w:p>
    <w:p w:rsidR="00D379F8" w:rsidRDefault="004F30EB">
      <w:pPr>
        <w:pStyle w:val="TOC1"/>
        <w:rPr>
          <w:rFonts w:asciiTheme="minorHAnsi" w:eastAsiaTheme="minorEastAsia" w:hAnsiTheme="minorHAnsi" w:cstheme="minorBidi"/>
          <w:b w:val="0"/>
          <w:sz w:val="22"/>
          <w:szCs w:val="22"/>
        </w:rPr>
      </w:pPr>
      <w:r>
        <w:fldChar w:fldCharType="begin"/>
      </w:r>
      <w:r w:rsidR="00310C4B">
        <w:instrText xml:space="preserve"> TOC \o "1-3" \t "TOCentry,1" </w:instrText>
      </w:r>
      <w:r>
        <w:fldChar w:fldCharType="separate"/>
      </w:r>
      <w:r w:rsidR="00D379F8">
        <w:t>Table of Contents</w:t>
      </w:r>
      <w:r w:rsidR="00D379F8">
        <w:tab/>
      </w:r>
      <w:r w:rsidR="00D379F8">
        <w:fldChar w:fldCharType="begin"/>
      </w:r>
      <w:r w:rsidR="00D379F8">
        <w:instrText xml:space="preserve"> PAGEREF _Toc221813140 \h </w:instrText>
      </w:r>
      <w:r w:rsidR="00D379F8">
        <w:fldChar w:fldCharType="separate"/>
      </w:r>
      <w:r w:rsidR="00D379F8">
        <w:t>ii</w:t>
      </w:r>
      <w:r w:rsidR="00D379F8">
        <w:fldChar w:fldCharType="end"/>
      </w:r>
    </w:p>
    <w:p w:rsidR="00D379F8" w:rsidRDefault="00D379F8">
      <w:pPr>
        <w:pStyle w:val="TOC1"/>
        <w:rPr>
          <w:rFonts w:asciiTheme="minorHAnsi" w:eastAsiaTheme="minorEastAsia" w:hAnsiTheme="minorHAnsi" w:cstheme="minorBidi"/>
          <w:b w:val="0"/>
          <w:sz w:val="22"/>
          <w:szCs w:val="22"/>
        </w:rPr>
      </w:pPr>
      <w:r>
        <w:t>Revision History</w:t>
      </w:r>
      <w:r>
        <w:tab/>
      </w:r>
      <w:r>
        <w:fldChar w:fldCharType="begin"/>
      </w:r>
      <w:r>
        <w:instrText xml:space="preserve"> PAGEREF _Toc221813141 \h </w:instrText>
      </w:r>
      <w:r>
        <w:fldChar w:fldCharType="separate"/>
      </w:r>
      <w:r>
        <w:t>iii</w:t>
      </w:r>
      <w:r>
        <w:fldChar w:fldCharType="end"/>
      </w:r>
    </w:p>
    <w:p w:rsidR="00D379F8" w:rsidRDefault="00D379F8">
      <w:pPr>
        <w:pStyle w:val="TOC1"/>
        <w:rPr>
          <w:rFonts w:asciiTheme="minorHAnsi" w:eastAsiaTheme="minorEastAsia" w:hAnsiTheme="minorHAnsi" w:cstheme="minorBidi"/>
          <w:b w:val="0"/>
          <w:sz w:val="22"/>
          <w:szCs w:val="22"/>
        </w:rPr>
      </w:pPr>
      <w:r>
        <w:t>1.</w:t>
      </w:r>
      <w:r>
        <w:rPr>
          <w:rFonts w:asciiTheme="minorHAnsi" w:eastAsiaTheme="minorEastAsia" w:hAnsiTheme="minorHAnsi" w:cstheme="minorBidi"/>
          <w:b w:val="0"/>
          <w:sz w:val="22"/>
          <w:szCs w:val="22"/>
        </w:rPr>
        <w:tab/>
      </w:r>
      <w:r>
        <w:t>Introduction</w:t>
      </w:r>
      <w:r>
        <w:tab/>
      </w:r>
      <w:r>
        <w:fldChar w:fldCharType="begin"/>
      </w:r>
      <w:r>
        <w:instrText xml:space="preserve"> PAGEREF _Toc221813142 \h </w:instrText>
      </w:r>
      <w:r>
        <w:fldChar w:fldCharType="separate"/>
      </w:r>
      <w:r>
        <w:t>1</w:t>
      </w:r>
      <w: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1.1</w:t>
      </w:r>
      <w:r>
        <w:rPr>
          <w:rFonts w:asciiTheme="minorHAnsi" w:eastAsiaTheme="minorEastAsia" w:hAnsiTheme="minorHAnsi" w:cstheme="minorBidi"/>
          <w:noProof/>
          <w:szCs w:val="22"/>
        </w:rPr>
        <w:tab/>
      </w:r>
      <w:r>
        <w:rPr>
          <w:noProof/>
        </w:rPr>
        <w:t>Purpose</w:t>
      </w:r>
      <w:r>
        <w:rPr>
          <w:noProof/>
        </w:rPr>
        <w:tab/>
      </w:r>
      <w:r>
        <w:rPr>
          <w:noProof/>
        </w:rPr>
        <w:fldChar w:fldCharType="begin"/>
      </w:r>
      <w:r>
        <w:rPr>
          <w:noProof/>
        </w:rPr>
        <w:instrText xml:space="preserve"> PAGEREF _Toc221813143 \h </w:instrText>
      </w:r>
      <w:r>
        <w:rPr>
          <w:noProof/>
        </w:rPr>
      </w:r>
      <w:r>
        <w:rPr>
          <w:noProof/>
        </w:rPr>
        <w:fldChar w:fldCharType="separate"/>
      </w:r>
      <w:r>
        <w:rPr>
          <w:noProof/>
        </w:rPr>
        <w:t>1</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1.2</w:t>
      </w:r>
      <w:r>
        <w:rPr>
          <w:rFonts w:asciiTheme="minorHAnsi" w:eastAsiaTheme="minorEastAsia" w:hAnsiTheme="minorHAnsi" w:cstheme="minorBidi"/>
          <w:noProof/>
          <w:szCs w:val="22"/>
        </w:rPr>
        <w:tab/>
      </w:r>
      <w:r>
        <w:rPr>
          <w:noProof/>
        </w:rPr>
        <w:t>Document Conventions</w:t>
      </w:r>
      <w:r>
        <w:rPr>
          <w:noProof/>
        </w:rPr>
        <w:tab/>
      </w:r>
      <w:r>
        <w:rPr>
          <w:noProof/>
        </w:rPr>
        <w:fldChar w:fldCharType="begin"/>
      </w:r>
      <w:r>
        <w:rPr>
          <w:noProof/>
        </w:rPr>
        <w:instrText xml:space="preserve"> PAGEREF _Toc221813144 \h </w:instrText>
      </w:r>
      <w:r>
        <w:rPr>
          <w:noProof/>
        </w:rPr>
      </w:r>
      <w:r>
        <w:rPr>
          <w:noProof/>
        </w:rPr>
        <w:fldChar w:fldCharType="separate"/>
      </w:r>
      <w:r>
        <w:rPr>
          <w:noProof/>
        </w:rPr>
        <w:t>1</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1.3</w:t>
      </w:r>
      <w:r>
        <w:rPr>
          <w:rFonts w:asciiTheme="minorHAnsi" w:eastAsiaTheme="minorEastAsia" w:hAnsiTheme="minorHAnsi" w:cstheme="minorBidi"/>
          <w:noProof/>
          <w:szCs w:val="22"/>
        </w:rPr>
        <w:tab/>
      </w:r>
      <w:r>
        <w:rPr>
          <w:noProof/>
        </w:rPr>
        <w:t>Project Scope</w:t>
      </w:r>
      <w:r>
        <w:rPr>
          <w:noProof/>
        </w:rPr>
        <w:tab/>
      </w:r>
      <w:r>
        <w:rPr>
          <w:noProof/>
        </w:rPr>
        <w:fldChar w:fldCharType="begin"/>
      </w:r>
      <w:r>
        <w:rPr>
          <w:noProof/>
        </w:rPr>
        <w:instrText xml:space="preserve"> PAGEREF _Toc221813145 \h </w:instrText>
      </w:r>
      <w:r>
        <w:rPr>
          <w:noProof/>
        </w:rPr>
      </w:r>
      <w:r>
        <w:rPr>
          <w:noProof/>
        </w:rPr>
        <w:fldChar w:fldCharType="separate"/>
      </w:r>
      <w:r>
        <w:rPr>
          <w:noProof/>
        </w:rPr>
        <w:t>1</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1.4</w:t>
      </w:r>
      <w:r>
        <w:rPr>
          <w:rFonts w:asciiTheme="minorHAnsi" w:eastAsiaTheme="minorEastAsia" w:hAnsiTheme="minorHAnsi" w:cstheme="minorBidi"/>
          <w:noProof/>
          <w:szCs w:val="22"/>
        </w:rPr>
        <w:tab/>
      </w:r>
      <w:r>
        <w:rPr>
          <w:noProof/>
        </w:rPr>
        <w:t>References</w:t>
      </w:r>
      <w:r>
        <w:rPr>
          <w:noProof/>
        </w:rPr>
        <w:tab/>
      </w:r>
      <w:r>
        <w:rPr>
          <w:noProof/>
        </w:rPr>
        <w:fldChar w:fldCharType="begin"/>
      </w:r>
      <w:r>
        <w:rPr>
          <w:noProof/>
        </w:rPr>
        <w:instrText xml:space="preserve"> PAGEREF _Toc221813146 \h </w:instrText>
      </w:r>
      <w:r>
        <w:rPr>
          <w:noProof/>
        </w:rPr>
      </w:r>
      <w:r>
        <w:rPr>
          <w:noProof/>
        </w:rPr>
        <w:fldChar w:fldCharType="separate"/>
      </w:r>
      <w:r>
        <w:rPr>
          <w:noProof/>
        </w:rPr>
        <w:t>1</w:t>
      </w:r>
      <w:r>
        <w:rPr>
          <w:noProof/>
        </w:rPr>
        <w:fldChar w:fldCharType="end"/>
      </w:r>
    </w:p>
    <w:p w:rsidR="00D379F8" w:rsidRDefault="00D379F8">
      <w:pPr>
        <w:pStyle w:val="TOC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Overall Description</w:t>
      </w:r>
      <w:r>
        <w:tab/>
      </w:r>
      <w:r>
        <w:fldChar w:fldCharType="begin"/>
      </w:r>
      <w:r>
        <w:instrText xml:space="preserve"> PAGEREF _Toc221813147 \h </w:instrText>
      </w:r>
      <w:r>
        <w:fldChar w:fldCharType="separate"/>
      </w:r>
      <w:r>
        <w:t>2</w:t>
      </w:r>
      <w: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2.1</w:t>
      </w:r>
      <w:r>
        <w:rPr>
          <w:rFonts w:asciiTheme="minorHAnsi" w:eastAsiaTheme="minorEastAsia" w:hAnsiTheme="minorHAnsi" w:cstheme="minorBidi"/>
          <w:noProof/>
          <w:szCs w:val="22"/>
        </w:rPr>
        <w:tab/>
      </w:r>
      <w:r>
        <w:rPr>
          <w:noProof/>
        </w:rPr>
        <w:t>Product Perspective</w:t>
      </w:r>
      <w:r>
        <w:rPr>
          <w:noProof/>
        </w:rPr>
        <w:tab/>
      </w:r>
      <w:r>
        <w:rPr>
          <w:noProof/>
        </w:rPr>
        <w:fldChar w:fldCharType="begin"/>
      </w:r>
      <w:r>
        <w:rPr>
          <w:noProof/>
        </w:rPr>
        <w:instrText xml:space="preserve"> PAGEREF _Toc221813148 \h </w:instrText>
      </w:r>
      <w:r>
        <w:rPr>
          <w:noProof/>
        </w:rPr>
      </w:r>
      <w:r>
        <w:rPr>
          <w:noProof/>
        </w:rPr>
        <w:fldChar w:fldCharType="separate"/>
      </w:r>
      <w:r>
        <w:rPr>
          <w:noProof/>
        </w:rPr>
        <w:t>2</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2.2</w:t>
      </w:r>
      <w:r>
        <w:rPr>
          <w:rFonts w:asciiTheme="minorHAnsi" w:eastAsiaTheme="minorEastAsia" w:hAnsiTheme="minorHAnsi" w:cstheme="minorBidi"/>
          <w:noProof/>
          <w:szCs w:val="22"/>
        </w:rPr>
        <w:tab/>
      </w:r>
      <w:r>
        <w:rPr>
          <w:noProof/>
        </w:rPr>
        <w:t>User Classes and Characteristics</w:t>
      </w:r>
      <w:r>
        <w:rPr>
          <w:noProof/>
        </w:rPr>
        <w:tab/>
      </w:r>
      <w:r>
        <w:rPr>
          <w:noProof/>
        </w:rPr>
        <w:fldChar w:fldCharType="begin"/>
      </w:r>
      <w:r>
        <w:rPr>
          <w:noProof/>
        </w:rPr>
        <w:instrText xml:space="preserve"> PAGEREF _Toc221813149 \h </w:instrText>
      </w:r>
      <w:r>
        <w:rPr>
          <w:noProof/>
        </w:rPr>
      </w:r>
      <w:r>
        <w:rPr>
          <w:noProof/>
        </w:rPr>
        <w:fldChar w:fldCharType="separate"/>
      </w:r>
      <w:r>
        <w:rPr>
          <w:noProof/>
        </w:rPr>
        <w:t>2</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2.3</w:t>
      </w:r>
      <w:r>
        <w:rPr>
          <w:rFonts w:asciiTheme="minorHAnsi" w:eastAsiaTheme="minorEastAsia" w:hAnsiTheme="minorHAnsi" w:cstheme="minorBidi"/>
          <w:noProof/>
          <w:szCs w:val="22"/>
        </w:rPr>
        <w:tab/>
      </w:r>
      <w:r>
        <w:rPr>
          <w:noProof/>
        </w:rPr>
        <w:t>Operating Environment</w:t>
      </w:r>
      <w:r>
        <w:rPr>
          <w:noProof/>
        </w:rPr>
        <w:tab/>
      </w:r>
      <w:r>
        <w:rPr>
          <w:noProof/>
        </w:rPr>
        <w:fldChar w:fldCharType="begin"/>
      </w:r>
      <w:r>
        <w:rPr>
          <w:noProof/>
        </w:rPr>
        <w:instrText xml:space="preserve"> PAGEREF _Toc221813150 \h </w:instrText>
      </w:r>
      <w:r>
        <w:rPr>
          <w:noProof/>
        </w:rPr>
      </w:r>
      <w:r>
        <w:rPr>
          <w:noProof/>
        </w:rPr>
        <w:fldChar w:fldCharType="separate"/>
      </w:r>
      <w:r>
        <w:rPr>
          <w:noProof/>
        </w:rPr>
        <w:t>2</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2.4</w:t>
      </w:r>
      <w:r>
        <w:rPr>
          <w:rFonts w:asciiTheme="minorHAnsi" w:eastAsiaTheme="minorEastAsia" w:hAnsiTheme="minorHAnsi" w:cstheme="minorBidi"/>
          <w:noProof/>
          <w:szCs w:val="22"/>
        </w:rPr>
        <w:tab/>
      </w:r>
      <w:r>
        <w:rPr>
          <w:noProof/>
        </w:rPr>
        <w:t>Design and Implementation Constraints</w:t>
      </w:r>
      <w:r>
        <w:rPr>
          <w:noProof/>
        </w:rPr>
        <w:tab/>
      </w:r>
      <w:r>
        <w:rPr>
          <w:noProof/>
        </w:rPr>
        <w:fldChar w:fldCharType="begin"/>
      </w:r>
      <w:r>
        <w:rPr>
          <w:noProof/>
        </w:rPr>
        <w:instrText xml:space="preserve"> PAGEREF _Toc221813151 \h </w:instrText>
      </w:r>
      <w:r>
        <w:rPr>
          <w:noProof/>
        </w:rPr>
      </w:r>
      <w:r>
        <w:rPr>
          <w:noProof/>
        </w:rPr>
        <w:fldChar w:fldCharType="separate"/>
      </w:r>
      <w:r>
        <w:rPr>
          <w:noProof/>
        </w:rPr>
        <w:t>2</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2.5</w:t>
      </w:r>
      <w:r>
        <w:rPr>
          <w:rFonts w:asciiTheme="minorHAnsi" w:eastAsiaTheme="minorEastAsia" w:hAnsiTheme="minorHAnsi" w:cstheme="minorBidi"/>
          <w:noProof/>
          <w:szCs w:val="22"/>
        </w:rPr>
        <w:tab/>
      </w:r>
      <w:r>
        <w:rPr>
          <w:noProof/>
        </w:rPr>
        <w:t>Assumptions and Dependencies</w:t>
      </w:r>
      <w:r>
        <w:rPr>
          <w:noProof/>
        </w:rPr>
        <w:tab/>
      </w:r>
      <w:r>
        <w:rPr>
          <w:noProof/>
        </w:rPr>
        <w:fldChar w:fldCharType="begin"/>
      </w:r>
      <w:r>
        <w:rPr>
          <w:noProof/>
        </w:rPr>
        <w:instrText xml:space="preserve"> PAGEREF _Toc221813152 \h </w:instrText>
      </w:r>
      <w:r>
        <w:rPr>
          <w:noProof/>
        </w:rPr>
      </w:r>
      <w:r>
        <w:rPr>
          <w:noProof/>
        </w:rPr>
        <w:fldChar w:fldCharType="separate"/>
      </w:r>
      <w:r>
        <w:rPr>
          <w:noProof/>
        </w:rPr>
        <w:t>2</w:t>
      </w:r>
      <w:r>
        <w:rPr>
          <w:noProof/>
        </w:rPr>
        <w:fldChar w:fldCharType="end"/>
      </w:r>
    </w:p>
    <w:p w:rsidR="00D379F8" w:rsidRDefault="00D379F8">
      <w:pPr>
        <w:pStyle w:val="TOC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System Features</w:t>
      </w:r>
      <w:r>
        <w:tab/>
      </w:r>
      <w:r>
        <w:fldChar w:fldCharType="begin"/>
      </w:r>
      <w:r>
        <w:instrText xml:space="preserve"> PAGEREF _Toc221813153 \h </w:instrText>
      </w:r>
      <w:r>
        <w:fldChar w:fldCharType="separate"/>
      </w:r>
      <w:r>
        <w:t>3</w:t>
      </w:r>
      <w: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3.1</w:t>
      </w:r>
      <w:r>
        <w:rPr>
          <w:rFonts w:asciiTheme="minorHAnsi" w:eastAsiaTheme="minorEastAsia" w:hAnsiTheme="minorHAnsi" w:cstheme="minorBidi"/>
          <w:noProof/>
          <w:szCs w:val="22"/>
        </w:rPr>
        <w:tab/>
      </w:r>
      <w:r>
        <w:rPr>
          <w:noProof/>
        </w:rPr>
        <w:t>Transaction Data Ingestion and Normalization</w:t>
      </w:r>
      <w:r>
        <w:rPr>
          <w:noProof/>
        </w:rPr>
        <w:tab/>
      </w:r>
      <w:r>
        <w:rPr>
          <w:noProof/>
        </w:rPr>
        <w:fldChar w:fldCharType="begin"/>
      </w:r>
      <w:r>
        <w:rPr>
          <w:noProof/>
        </w:rPr>
        <w:instrText xml:space="preserve"> PAGEREF _Toc221813154 \h </w:instrText>
      </w:r>
      <w:r>
        <w:rPr>
          <w:noProof/>
        </w:rPr>
      </w:r>
      <w:r>
        <w:rPr>
          <w:noProof/>
        </w:rPr>
        <w:fldChar w:fldCharType="separate"/>
      </w:r>
      <w:r>
        <w:rPr>
          <w:noProof/>
        </w:rPr>
        <w:t>3</w:t>
      </w:r>
      <w:r>
        <w:rPr>
          <w:noProof/>
        </w:rPr>
        <w:fldChar w:fldCharType="end"/>
      </w:r>
    </w:p>
    <w:p w:rsidR="00D379F8" w:rsidRDefault="00D379F8">
      <w:pPr>
        <w:pStyle w:val="TOC3"/>
        <w:rPr>
          <w:rFonts w:asciiTheme="minorHAnsi" w:eastAsiaTheme="minorEastAsia" w:hAnsiTheme="minorHAnsi" w:cstheme="minorBidi"/>
          <w:szCs w:val="22"/>
        </w:rPr>
      </w:pPr>
      <w:r>
        <w:t>3.1.1</w:t>
      </w:r>
      <w:r>
        <w:rPr>
          <w:rFonts w:asciiTheme="minorHAnsi" w:eastAsiaTheme="minorEastAsia" w:hAnsiTheme="minorHAnsi" w:cstheme="minorBidi"/>
          <w:szCs w:val="22"/>
        </w:rPr>
        <w:tab/>
      </w:r>
      <w:r>
        <w:t>Description</w:t>
      </w:r>
      <w:r>
        <w:tab/>
      </w:r>
      <w:r>
        <w:fldChar w:fldCharType="begin"/>
      </w:r>
      <w:r>
        <w:instrText xml:space="preserve"> PAGEREF _Toc221813155 \h </w:instrText>
      </w:r>
      <w:r>
        <w:fldChar w:fldCharType="separate"/>
      </w:r>
      <w:r>
        <w:t>3</w:t>
      </w:r>
      <w:r>
        <w:fldChar w:fldCharType="end"/>
      </w:r>
    </w:p>
    <w:p w:rsidR="00D379F8" w:rsidRDefault="00D379F8">
      <w:pPr>
        <w:pStyle w:val="TOC3"/>
        <w:rPr>
          <w:rFonts w:asciiTheme="minorHAnsi" w:eastAsiaTheme="minorEastAsia" w:hAnsiTheme="minorHAnsi" w:cstheme="minorBidi"/>
          <w:szCs w:val="22"/>
        </w:rPr>
      </w:pPr>
      <w:r>
        <w:t>3.1.2</w:t>
      </w:r>
      <w:r>
        <w:rPr>
          <w:rFonts w:asciiTheme="minorHAnsi" w:eastAsiaTheme="minorEastAsia" w:hAnsiTheme="minorHAnsi" w:cstheme="minorBidi"/>
          <w:szCs w:val="22"/>
        </w:rPr>
        <w:tab/>
      </w:r>
      <w:r>
        <w:t>Stimulus/Response Sequences</w:t>
      </w:r>
      <w:r>
        <w:tab/>
      </w:r>
      <w:r>
        <w:fldChar w:fldCharType="begin"/>
      </w:r>
      <w:r>
        <w:instrText xml:space="preserve"> PAGEREF _Toc221813156 \h </w:instrText>
      </w:r>
      <w:r>
        <w:fldChar w:fldCharType="separate"/>
      </w:r>
      <w:r>
        <w:t>3</w:t>
      </w:r>
      <w:r>
        <w:fldChar w:fldCharType="end"/>
      </w:r>
    </w:p>
    <w:p w:rsidR="00D379F8" w:rsidRDefault="00D379F8">
      <w:pPr>
        <w:pStyle w:val="TOC3"/>
        <w:rPr>
          <w:rFonts w:asciiTheme="minorHAnsi" w:eastAsiaTheme="minorEastAsia" w:hAnsiTheme="minorHAnsi" w:cstheme="minorBidi"/>
          <w:szCs w:val="22"/>
        </w:rPr>
      </w:pPr>
      <w:r>
        <w:t>3.1.3</w:t>
      </w:r>
      <w:r>
        <w:rPr>
          <w:rFonts w:asciiTheme="minorHAnsi" w:eastAsiaTheme="minorEastAsia" w:hAnsiTheme="minorHAnsi" w:cstheme="minorBidi"/>
          <w:szCs w:val="22"/>
        </w:rPr>
        <w:tab/>
      </w:r>
      <w:r>
        <w:t>Functional Requirements</w:t>
      </w:r>
      <w:r>
        <w:tab/>
      </w:r>
      <w:r>
        <w:fldChar w:fldCharType="begin"/>
      </w:r>
      <w:r>
        <w:instrText xml:space="preserve"> PAGEREF _Toc221813157 \h </w:instrText>
      </w:r>
      <w:r>
        <w:fldChar w:fldCharType="separate"/>
      </w:r>
      <w:r>
        <w:t>3</w:t>
      </w:r>
      <w: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3.2</w:t>
      </w:r>
      <w:r>
        <w:rPr>
          <w:rFonts w:asciiTheme="minorHAnsi" w:eastAsiaTheme="minorEastAsia" w:hAnsiTheme="minorHAnsi" w:cstheme="minorBidi"/>
          <w:noProof/>
          <w:szCs w:val="22"/>
        </w:rPr>
        <w:tab/>
      </w:r>
      <w:r>
        <w:rPr>
          <w:noProof/>
        </w:rPr>
        <w:t>Core Tax Calculation Engine</w:t>
      </w:r>
      <w:r>
        <w:rPr>
          <w:noProof/>
        </w:rPr>
        <w:tab/>
      </w:r>
      <w:r>
        <w:rPr>
          <w:noProof/>
        </w:rPr>
        <w:fldChar w:fldCharType="begin"/>
      </w:r>
      <w:r>
        <w:rPr>
          <w:noProof/>
        </w:rPr>
        <w:instrText xml:space="preserve"> PAGEREF _Toc221813158 \h </w:instrText>
      </w:r>
      <w:r>
        <w:rPr>
          <w:noProof/>
        </w:rPr>
      </w:r>
      <w:r>
        <w:rPr>
          <w:noProof/>
        </w:rPr>
        <w:fldChar w:fldCharType="separate"/>
      </w:r>
      <w:r>
        <w:rPr>
          <w:noProof/>
        </w:rPr>
        <w:t>3</w:t>
      </w:r>
      <w:r>
        <w:rPr>
          <w:noProof/>
        </w:rPr>
        <w:fldChar w:fldCharType="end"/>
      </w:r>
    </w:p>
    <w:p w:rsidR="00D379F8" w:rsidRDefault="00D379F8">
      <w:pPr>
        <w:pStyle w:val="TOC3"/>
        <w:rPr>
          <w:rFonts w:asciiTheme="minorHAnsi" w:eastAsiaTheme="minorEastAsia" w:hAnsiTheme="minorHAnsi" w:cstheme="minorBidi"/>
          <w:szCs w:val="22"/>
        </w:rPr>
      </w:pPr>
      <w:r>
        <w:t>3.2.1</w:t>
      </w:r>
      <w:r>
        <w:rPr>
          <w:rFonts w:asciiTheme="minorHAnsi" w:eastAsiaTheme="minorEastAsia" w:hAnsiTheme="minorHAnsi" w:cstheme="minorBidi"/>
          <w:szCs w:val="22"/>
        </w:rPr>
        <w:tab/>
      </w:r>
      <w:r>
        <w:t>Description</w:t>
      </w:r>
      <w:r>
        <w:tab/>
      </w:r>
      <w:r>
        <w:fldChar w:fldCharType="begin"/>
      </w:r>
      <w:r>
        <w:instrText xml:space="preserve"> PAGEREF _Toc221813159 \h </w:instrText>
      </w:r>
      <w:r>
        <w:fldChar w:fldCharType="separate"/>
      </w:r>
      <w:r>
        <w:t>3</w:t>
      </w:r>
      <w:r>
        <w:fldChar w:fldCharType="end"/>
      </w:r>
    </w:p>
    <w:p w:rsidR="00D379F8" w:rsidRDefault="00D379F8">
      <w:pPr>
        <w:pStyle w:val="TOC3"/>
        <w:rPr>
          <w:rFonts w:asciiTheme="minorHAnsi" w:eastAsiaTheme="minorEastAsia" w:hAnsiTheme="minorHAnsi" w:cstheme="minorBidi"/>
          <w:szCs w:val="22"/>
        </w:rPr>
      </w:pPr>
      <w:r>
        <w:t>3.2.2</w:t>
      </w:r>
      <w:r>
        <w:rPr>
          <w:rFonts w:asciiTheme="minorHAnsi" w:eastAsiaTheme="minorEastAsia" w:hAnsiTheme="minorHAnsi" w:cstheme="minorBidi"/>
          <w:szCs w:val="22"/>
        </w:rPr>
        <w:tab/>
      </w:r>
      <w:r>
        <w:t>Stimulus/Response Sequences</w:t>
      </w:r>
      <w:r>
        <w:tab/>
      </w:r>
      <w:r>
        <w:fldChar w:fldCharType="begin"/>
      </w:r>
      <w:r>
        <w:instrText xml:space="preserve"> PAGEREF _Toc221813160 \h </w:instrText>
      </w:r>
      <w:r>
        <w:fldChar w:fldCharType="separate"/>
      </w:r>
      <w:r>
        <w:t>3</w:t>
      </w:r>
      <w:r>
        <w:fldChar w:fldCharType="end"/>
      </w:r>
    </w:p>
    <w:p w:rsidR="00D379F8" w:rsidRDefault="00D379F8">
      <w:pPr>
        <w:pStyle w:val="TOC3"/>
        <w:rPr>
          <w:rFonts w:asciiTheme="minorHAnsi" w:eastAsiaTheme="minorEastAsia" w:hAnsiTheme="minorHAnsi" w:cstheme="minorBidi"/>
          <w:szCs w:val="22"/>
        </w:rPr>
      </w:pPr>
      <w:r>
        <w:t>3.2.3</w:t>
      </w:r>
      <w:r>
        <w:rPr>
          <w:rFonts w:asciiTheme="minorHAnsi" w:eastAsiaTheme="minorEastAsia" w:hAnsiTheme="minorHAnsi" w:cstheme="minorBidi"/>
          <w:szCs w:val="22"/>
        </w:rPr>
        <w:tab/>
      </w:r>
      <w:r>
        <w:t>Functional Requirements</w:t>
      </w:r>
      <w:r>
        <w:tab/>
      </w:r>
      <w:r>
        <w:fldChar w:fldCharType="begin"/>
      </w:r>
      <w:r>
        <w:instrText xml:space="preserve"> PAGEREF _Toc221813161 \h </w:instrText>
      </w:r>
      <w:r>
        <w:fldChar w:fldCharType="separate"/>
      </w:r>
      <w:r>
        <w:t>3</w:t>
      </w:r>
      <w: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3.3</w:t>
      </w:r>
      <w:r>
        <w:rPr>
          <w:rFonts w:asciiTheme="minorHAnsi" w:eastAsiaTheme="minorEastAsia" w:hAnsiTheme="minorHAnsi" w:cstheme="minorBidi"/>
          <w:noProof/>
          <w:szCs w:val="22"/>
        </w:rPr>
        <w:tab/>
      </w:r>
      <w:r>
        <w:rPr>
          <w:noProof/>
        </w:rPr>
        <w:t>Annual Tax Summary and Reporting</w:t>
      </w:r>
      <w:r>
        <w:rPr>
          <w:noProof/>
        </w:rPr>
        <w:tab/>
      </w:r>
      <w:r>
        <w:rPr>
          <w:noProof/>
        </w:rPr>
        <w:fldChar w:fldCharType="begin"/>
      </w:r>
      <w:r>
        <w:rPr>
          <w:noProof/>
        </w:rPr>
        <w:instrText xml:space="preserve"> PAGEREF _Toc221813162 \h </w:instrText>
      </w:r>
      <w:r>
        <w:rPr>
          <w:noProof/>
        </w:rPr>
      </w:r>
      <w:r>
        <w:rPr>
          <w:noProof/>
        </w:rPr>
        <w:fldChar w:fldCharType="separate"/>
      </w:r>
      <w:r>
        <w:rPr>
          <w:noProof/>
        </w:rPr>
        <w:t>4</w:t>
      </w:r>
      <w:r>
        <w:rPr>
          <w:noProof/>
        </w:rPr>
        <w:fldChar w:fldCharType="end"/>
      </w:r>
    </w:p>
    <w:p w:rsidR="00D379F8" w:rsidRDefault="00D379F8">
      <w:pPr>
        <w:pStyle w:val="TOC3"/>
        <w:rPr>
          <w:rFonts w:asciiTheme="minorHAnsi" w:eastAsiaTheme="minorEastAsia" w:hAnsiTheme="minorHAnsi" w:cstheme="minorBidi"/>
          <w:szCs w:val="22"/>
        </w:rPr>
      </w:pPr>
      <w:r>
        <w:t>3.3.1</w:t>
      </w:r>
      <w:r>
        <w:rPr>
          <w:rFonts w:asciiTheme="minorHAnsi" w:eastAsiaTheme="minorEastAsia" w:hAnsiTheme="minorHAnsi" w:cstheme="minorBidi"/>
          <w:szCs w:val="22"/>
        </w:rPr>
        <w:tab/>
      </w:r>
      <w:r>
        <w:t>Description</w:t>
      </w:r>
      <w:r>
        <w:tab/>
      </w:r>
      <w:r>
        <w:fldChar w:fldCharType="begin"/>
      </w:r>
      <w:r>
        <w:instrText xml:space="preserve"> PAGEREF _Toc221813163 \h </w:instrText>
      </w:r>
      <w:r>
        <w:fldChar w:fldCharType="separate"/>
      </w:r>
      <w:r>
        <w:t>4</w:t>
      </w:r>
      <w:r>
        <w:fldChar w:fldCharType="end"/>
      </w:r>
    </w:p>
    <w:p w:rsidR="00D379F8" w:rsidRDefault="00D379F8">
      <w:pPr>
        <w:pStyle w:val="TOC3"/>
        <w:rPr>
          <w:rFonts w:asciiTheme="minorHAnsi" w:eastAsiaTheme="minorEastAsia" w:hAnsiTheme="minorHAnsi" w:cstheme="minorBidi"/>
          <w:szCs w:val="22"/>
        </w:rPr>
      </w:pPr>
      <w:r>
        <w:t>3.3.2</w:t>
      </w:r>
      <w:r>
        <w:rPr>
          <w:rFonts w:asciiTheme="minorHAnsi" w:eastAsiaTheme="minorEastAsia" w:hAnsiTheme="minorHAnsi" w:cstheme="minorBidi"/>
          <w:szCs w:val="22"/>
        </w:rPr>
        <w:tab/>
      </w:r>
      <w:r>
        <w:t>Stimulus/Response Sequences</w:t>
      </w:r>
      <w:r>
        <w:tab/>
      </w:r>
      <w:r>
        <w:fldChar w:fldCharType="begin"/>
      </w:r>
      <w:r>
        <w:instrText xml:space="preserve"> PAGEREF _Toc221813164 \h </w:instrText>
      </w:r>
      <w:r>
        <w:fldChar w:fldCharType="separate"/>
      </w:r>
      <w:r>
        <w:t>4</w:t>
      </w:r>
      <w:r>
        <w:fldChar w:fldCharType="end"/>
      </w:r>
    </w:p>
    <w:p w:rsidR="00D379F8" w:rsidRDefault="00D379F8">
      <w:pPr>
        <w:pStyle w:val="TOC3"/>
        <w:rPr>
          <w:rFonts w:asciiTheme="minorHAnsi" w:eastAsiaTheme="minorEastAsia" w:hAnsiTheme="minorHAnsi" w:cstheme="minorBidi"/>
          <w:szCs w:val="22"/>
        </w:rPr>
      </w:pPr>
      <w:r>
        <w:t>3.3.3</w:t>
      </w:r>
      <w:r>
        <w:rPr>
          <w:rFonts w:asciiTheme="minorHAnsi" w:eastAsiaTheme="minorEastAsia" w:hAnsiTheme="minorHAnsi" w:cstheme="minorBidi"/>
          <w:szCs w:val="22"/>
        </w:rPr>
        <w:tab/>
      </w:r>
      <w:r>
        <w:t>Functional Requirements</w:t>
      </w:r>
      <w:r>
        <w:tab/>
      </w:r>
      <w:r>
        <w:fldChar w:fldCharType="begin"/>
      </w:r>
      <w:r>
        <w:instrText xml:space="preserve"> PAGEREF _Toc221813165 \h </w:instrText>
      </w:r>
      <w:r>
        <w:fldChar w:fldCharType="separate"/>
      </w:r>
      <w:r>
        <w:t>4</w:t>
      </w:r>
      <w:r>
        <w:fldChar w:fldCharType="end"/>
      </w:r>
    </w:p>
    <w:p w:rsidR="00D379F8" w:rsidRDefault="00D379F8">
      <w:pPr>
        <w:pStyle w:val="TOC1"/>
        <w:rPr>
          <w:rFonts w:asciiTheme="minorHAnsi" w:eastAsiaTheme="minorEastAsia" w:hAnsiTheme="minorHAnsi" w:cstheme="minorBidi"/>
          <w:b w:val="0"/>
          <w:sz w:val="22"/>
          <w:szCs w:val="22"/>
        </w:rPr>
      </w:pPr>
      <w:r>
        <w:t>4.</w:t>
      </w:r>
      <w:r>
        <w:rPr>
          <w:rFonts w:asciiTheme="minorHAnsi" w:eastAsiaTheme="minorEastAsia" w:hAnsiTheme="minorHAnsi" w:cstheme="minorBidi"/>
          <w:b w:val="0"/>
          <w:sz w:val="22"/>
          <w:szCs w:val="22"/>
        </w:rPr>
        <w:tab/>
      </w:r>
      <w:r>
        <w:t>Data Requirements</w:t>
      </w:r>
      <w:r>
        <w:tab/>
      </w:r>
      <w:r>
        <w:fldChar w:fldCharType="begin"/>
      </w:r>
      <w:r>
        <w:instrText xml:space="preserve"> PAGEREF _Toc221813166 \h </w:instrText>
      </w:r>
      <w:r>
        <w:fldChar w:fldCharType="separate"/>
      </w:r>
      <w:r>
        <w:t>4</w:t>
      </w:r>
      <w: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4.1</w:t>
      </w:r>
      <w:r>
        <w:rPr>
          <w:rFonts w:asciiTheme="minorHAnsi" w:eastAsiaTheme="minorEastAsia" w:hAnsiTheme="minorHAnsi" w:cstheme="minorBidi"/>
          <w:noProof/>
          <w:szCs w:val="22"/>
        </w:rPr>
        <w:tab/>
      </w:r>
      <w:r>
        <w:rPr>
          <w:noProof/>
        </w:rPr>
        <w:t>Logical Data Model</w:t>
      </w:r>
      <w:r>
        <w:rPr>
          <w:noProof/>
        </w:rPr>
        <w:tab/>
      </w:r>
      <w:r>
        <w:rPr>
          <w:noProof/>
        </w:rPr>
        <w:fldChar w:fldCharType="begin"/>
      </w:r>
      <w:r>
        <w:rPr>
          <w:noProof/>
        </w:rPr>
        <w:instrText xml:space="preserve"> PAGEREF _Toc221813167 \h </w:instrText>
      </w:r>
      <w:r>
        <w:rPr>
          <w:noProof/>
        </w:rPr>
      </w:r>
      <w:r>
        <w:rPr>
          <w:noProof/>
        </w:rPr>
        <w:fldChar w:fldCharType="separate"/>
      </w:r>
      <w:r>
        <w:rPr>
          <w:noProof/>
        </w:rPr>
        <w:t>4</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4.2</w:t>
      </w:r>
      <w:r>
        <w:rPr>
          <w:rFonts w:asciiTheme="minorHAnsi" w:eastAsiaTheme="minorEastAsia" w:hAnsiTheme="minorHAnsi" w:cstheme="minorBidi"/>
          <w:noProof/>
          <w:szCs w:val="22"/>
        </w:rPr>
        <w:tab/>
      </w:r>
      <w:r>
        <w:rPr>
          <w:noProof/>
        </w:rPr>
        <w:t>Data Dictionary</w:t>
      </w:r>
      <w:r>
        <w:rPr>
          <w:noProof/>
        </w:rPr>
        <w:tab/>
      </w:r>
      <w:r>
        <w:rPr>
          <w:noProof/>
        </w:rPr>
        <w:fldChar w:fldCharType="begin"/>
      </w:r>
      <w:r>
        <w:rPr>
          <w:noProof/>
        </w:rPr>
        <w:instrText xml:space="preserve"> PAGEREF _Toc221813168 \h </w:instrText>
      </w:r>
      <w:r>
        <w:rPr>
          <w:noProof/>
        </w:rPr>
      </w:r>
      <w:r>
        <w:rPr>
          <w:noProof/>
        </w:rPr>
        <w:fldChar w:fldCharType="separate"/>
      </w:r>
      <w:r>
        <w:rPr>
          <w:noProof/>
        </w:rPr>
        <w:t>4</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4.3</w:t>
      </w:r>
      <w:r>
        <w:rPr>
          <w:rFonts w:asciiTheme="minorHAnsi" w:eastAsiaTheme="minorEastAsia" w:hAnsiTheme="minorHAnsi" w:cstheme="minorBidi"/>
          <w:noProof/>
          <w:szCs w:val="22"/>
        </w:rPr>
        <w:tab/>
      </w:r>
      <w:r>
        <w:rPr>
          <w:noProof/>
        </w:rPr>
        <w:t>Reports</w:t>
      </w:r>
      <w:r>
        <w:rPr>
          <w:noProof/>
        </w:rPr>
        <w:tab/>
      </w:r>
      <w:r>
        <w:rPr>
          <w:noProof/>
        </w:rPr>
        <w:fldChar w:fldCharType="begin"/>
      </w:r>
      <w:r>
        <w:rPr>
          <w:noProof/>
        </w:rPr>
        <w:instrText xml:space="preserve"> PAGEREF _Toc221813169 \h </w:instrText>
      </w:r>
      <w:r>
        <w:rPr>
          <w:noProof/>
        </w:rPr>
      </w:r>
      <w:r>
        <w:rPr>
          <w:noProof/>
        </w:rPr>
        <w:fldChar w:fldCharType="separate"/>
      </w:r>
      <w:r>
        <w:rPr>
          <w:noProof/>
        </w:rPr>
        <w:t>4</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4.4</w:t>
      </w:r>
      <w:r>
        <w:rPr>
          <w:rFonts w:asciiTheme="minorHAnsi" w:eastAsiaTheme="minorEastAsia" w:hAnsiTheme="minorHAnsi" w:cstheme="minorBidi"/>
          <w:noProof/>
          <w:szCs w:val="22"/>
        </w:rPr>
        <w:tab/>
      </w:r>
      <w:r>
        <w:rPr>
          <w:noProof/>
        </w:rPr>
        <w:t>Data Acquisition, Integrity, Retention, and Disposal</w:t>
      </w:r>
      <w:r>
        <w:rPr>
          <w:noProof/>
        </w:rPr>
        <w:tab/>
      </w:r>
      <w:r>
        <w:rPr>
          <w:noProof/>
        </w:rPr>
        <w:fldChar w:fldCharType="begin"/>
      </w:r>
      <w:r>
        <w:rPr>
          <w:noProof/>
        </w:rPr>
        <w:instrText xml:space="preserve"> PAGEREF _Toc221813170 \h </w:instrText>
      </w:r>
      <w:r>
        <w:rPr>
          <w:noProof/>
        </w:rPr>
      </w:r>
      <w:r>
        <w:rPr>
          <w:noProof/>
        </w:rPr>
        <w:fldChar w:fldCharType="separate"/>
      </w:r>
      <w:r>
        <w:rPr>
          <w:noProof/>
        </w:rPr>
        <w:t>5</w:t>
      </w:r>
      <w:r>
        <w:rPr>
          <w:noProof/>
        </w:rPr>
        <w:fldChar w:fldCharType="end"/>
      </w:r>
    </w:p>
    <w:p w:rsidR="00D379F8" w:rsidRDefault="00D379F8">
      <w:pPr>
        <w:pStyle w:val="TOC1"/>
        <w:rPr>
          <w:rFonts w:asciiTheme="minorHAnsi" w:eastAsiaTheme="minorEastAsia" w:hAnsiTheme="minorHAnsi" w:cstheme="minorBidi"/>
          <w:b w:val="0"/>
          <w:sz w:val="22"/>
          <w:szCs w:val="22"/>
        </w:rPr>
      </w:pPr>
      <w:r>
        <w:t>5.</w:t>
      </w:r>
      <w:r>
        <w:rPr>
          <w:rFonts w:asciiTheme="minorHAnsi" w:eastAsiaTheme="minorEastAsia" w:hAnsiTheme="minorHAnsi" w:cstheme="minorBidi"/>
          <w:b w:val="0"/>
          <w:sz w:val="22"/>
          <w:szCs w:val="22"/>
        </w:rPr>
        <w:tab/>
      </w:r>
      <w:r>
        <w:t>External Interface Requirements</w:t>
      </w:r>
      <w:r>
        <w:tab/>
      </w:r>
      <w:r>
        <w:fldChar w:fldCharType="begin"/>
      </w:r>
      <w:r>
        <w:instrText xml:space="preserve"> PAGEREF _Toc221813171 \h </w:instrText>
      </w:r>
      <w:r>
        <w:fldChar w:fldCharType="separate"/>
      </w:r>
      <w:r>
        <w:t>5</w:t>
      </w:r>
      <w: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5.1</w:t>
      </w:r>
      <w:r>
        <w:rPr>
          <w:rFonts w:asciiTheme="minorHAnsi" w:eastAsiaTheme="minorEastAsia" w:hAnsiTheme="minorHAnsi" w:cstheme="minorBidi"/>
          <w:noProof/>
          <w:szCs w:val="22"/>
        </w:rPr>
        <w:tab/>
      </w:r>
      <w:r>
        <w:rPr>
          <w:noProof/>
        </w:rPr>
        <w:t>User Interfaces</w:t>
      </w:r>
      <w:r>
        <w:rPr>
          <w:noProof/>
        </w:rPr>
        <w:tab/>
      </w:r>
      <w:r>
        <w:rPr>
          <w:noProof/>
        </w:rPr>
        <w:fldChar w:fldCharType="begin"/>
      </w:r>
      <w:r>
        <w:rPr>
          <w:noProof/>
        </w:rPr>
        <w:instrText xml:space="preserve"> PAGEREF _Toc221813172 \h </w:instrText>
      </w:r>
      <w:r>
        <w:rPr>
          <w:noProof/>
        </w:rPr>
      </w:r>
      <w:r>
        <w:rPr>
          <w:noProof/>
        </w:rPr>
        <w:fldChar w:fldCharType="separate"/>
      </w:r>
      <w:r>
        <w:rPr>
          <w:noProof/>
        </w:rPr>
        <w:t>5</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5.2</w:t>
      </w:r>
      <w:r>
        <w:rPr>
          <w:rFonts w:asciiTheme="minorHAnsi" w:eastAsiaTheme="minorEastAsia" w:hAnsiTheme="minorHAnsi" w:cstheme="minorBidi"/>
          <w:noProof/>
          <w:szCs w:val="22"/>
        </w:rPr>
        <w:tab/>
      </w:r>
      <w:r>
        <w:rPr>
          <w:noProof/>
        </w:rPr>
        <w:t>Software Interfaces</w:t>
      </w:r>
      <w:r>
        <w:rPr>
          <w:noProof/>
        </w:rPr>
        <w:tab/>
      </w:r>
      <w:r>
        <w:rPr>
          <w:noProof/>
        </w:rPr>
        <w:fldChar w:fldCharType="begin"/>
      </w:r>
      <w:r>
        <w:rPr>
          <w:noProof/>
        </w:rPr>
        <w:instrText xml:space="preserve"> PAGEREF _Toc221813173 \h </w:instrText>
      </w:r>
      <w:r>
        <w:rPr>
          <w:noProof/>
        </w:rPr>
      </w:r>
      <w:r>
        <w:rPr>
          <w:noProof/>
        </w:rPr>
        <w:fldChar w:fldCharType="separate"/>
      </w:r>
      <w:r>
        <w:rPr>
          <w:noProof/>
        </w:rPr>
        <w:t>5</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5.3</w:t>
      </w:r>
      <w:r>
        <w:rPr>
          <w:rFonts w:asciiTheme="minorHAnsi" w:eastAsiaTheme="minorEastAsia" w:hAnsiTheme="minorHAnsi" w:cstheme="minorBidi"/>
          <w:noProof/>
          <w:szCs w:val="22"/>
        </w:rPr>
        <w:tab/>
      </w:r>
      <w:r>
        <w:rPr>
          <w:noProof/>
        </w:rPr>
        <w:t>Hardware Interfaces</w:t>
      </w:r>
      <w:r>
        <w:rPr>
          <w:noProof/>
        </w:rPr>
        <w:tab/>
      </w:r>
      <w:r>
        <w:rPr>
          <w:noProof/>
        </w:rPr>
        <w:fldChar w:fldCharType="begin"/>
      </w:r>
      <w:r>
        <w:rPr>
          <w:noProof/>
        </w:rPr>
        <w:instrText xml:space="preserve"> PAGEREF _Toc221813174 \h </w:instrText>
      </w:r>
      <w:r>
        <w:rPr>
          <w:noProof/>
        </w:rPr>
      </w:r>
      <w:r>
        <w:rPr>
          <w:noProof/>
        </w:rPr>
        <w:fldChar w:fldCharType="separate"/>
      </w:r>
      <w:r>
        <w:rPr>
          <w:noProof/>
        </w:rPr>
        <w:t>5</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5.4</w:t>
      </w:r>
      <w:r>
        <w:rPr>
          <w:rFonts w:asciiTheme="minorHAnsi" w:eastAsiaTheme="minorEastAsia" w:hAnsiTheme="minorHAnsi" w:cstheme="minorBidi"/>
          <w:noProof/>
          <w:szCs w:val="22"/>
        </w:rPr>
        <w:tab/>
      </w:r>
      <w:r>
        <w:rPr>
          <w:noProof/>
        </w:rPr>
        <w:t>Communications Interfaces</w:t>
      </w:r>
      <w:r>
        <w:rPr>
          <w:noProof/>
        </w:rPr>
        <w:tab/>
      </w:r>
      <w:r>
        <w:rPr>
          <w:noProof/>
        </w:rPr>
        <w:fldChar w:fldCharType="begin"/>
      </w:r>
      <w:r>
        <w:rPr>
          <w:noProof/>
        </w:rPr>
        <w:instrText xml:space="preserve"> PAGEREF _Toc221813175 \h </w:instrText>
      </w:r>
      <w:r>
        <w:rPr>
          <w:noProof/>
        </w:rPr>
      </w:r>
      <w:r>
        <w:rPr>
          <w:noProof/>
        </w:rPr>
        <w:fldChar w:fldCharType="separate"/>
      </w:r>
      <w:r>
        <w:rPr>
          <w:noProof/>
        </w:rPr>
        <w:t>5</w:t>
      </w:r>
      <w:r>
        <w:rPr>
          <w:noProof/>
        </w:rPr>
        <w:fldChar w:fldCharType="end"/>
      </w:r>
    </w:p>
    <w:p w:rsidR="00D379F8" w:rsidRDefault="00D379F8">
      <w:pPr>
        <w:pStyle w:val="TOC1"/>
        <w:rPr>
          <w:rFonts w:asciiTheme="minorHAnsi" w:eastAsiaTheme="minorEastAsia" w:hAnsiTheme="minorHAnsi" w:cstheme="minorBidi"/>
          <w:b w:val="0"/>
          <w:sz w:val="22"/>
          <w:szCs w:val="22"/>
        </w:rPr>
      </w:pPr>
      <w:r>
        <w:t>6.</w:t>
      </w:r>
      <w:r>
        <w:rPr>
          <w:rFonts w:asciiTheme="minorHAnsi" w:eastAsiaTheme="minorEastAsia" w:hAnsiTheme="minorHAnsi" w:cstheme="minorBidi"/>
          <w:b w:val="0"/>
          <w:sz w:val="22"/>
          <w:szCs w:val="22"/>
        </w:rPr>
        <w:tab/>
      </w:r>
      <w:r>
        <w:t>Quality Attributes</w:t>
      </w:r>
      <w:r>
        <w:tab/>
      </w:r>
      <w:r>
        <w:fldChar w:fldCharType="begin"/>
      </w:r>
      <w:r>
        <w:instrText xml:space="preserve"> PAGEREF _Toc221813176 \h </w:instrText>
      </w:r>
      <w:r>
        <w:fldChar w:fldCharType="separate"/>
      </w:r>
      <w:r>
        <w:t>6</w:t>
      </w:r>
      <w: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6.1</w:t>
      </w:r>
      <w:r>
        <w:rPr>
          <w:rFonts w:asciiTheme="minorHAnsi" w:eastAsiaTheme="minorEastAsia" w:hAnsiTheme="minorHAnsi" w:cstheme="minorBidi"/>
          <w:noProof/>
          <w:szCs w:val="22"/>
        </w:rPr>
        <w:tab/>
      </w:r>
      <w:r>
        <w:rPr>
          <w:noProof/>
        </w:rPr>
        <w:t>Usability</w:t>
      </w:r>
      <w:r>
        <w:rPr>
          <w:noProof/>
        </w:rPr>
        <w:tab/>
      </w:r>
      <w:r>
        <w:rPr>
          <w:noProof/>
        </w:rPr>
        <w:fldChar w:fldCharType="begin"/>
      </w:r>
      <w:r>
        <w:rPr>
          <w:noProof/>
        </w:rPr>
        <w:instrText xml:space="preserve"> PAGEREF _Toc221813177 \h </w:instrText>
      </w:r>
      <w:r>
        <w:rPr>
          <w:noProof/>
        </w:rPr>
      </w:r>
      <w:r>
        <w:rPr>
          <w:noProof/>
        </w:rPr>
        <w:fldChar w:fldCharType="separate"/>
      </w:r>
      <w:r>
        <w:rPr>
          <w:noProof/>
        </w:rPr>
        <w:t>6</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6.2</w:t>
      </w:r>
      <w:r>
        <w:rPr>
          <w:rFonts w:asciiTheme="minorHAnsi" w:eastAsiaTheme="minorEastAsia" w:hAnsiTheme="minorHAnsi" w:cstheme="minorBidi"/>
          <w:noProof/>
          <w:szCs w:val="22"/>
        </w:rPr>
        <w:tab/>
      </w:r>
      <w:r>
        <w:rPr>
          <w:noProof/>
        </w:rPr>
        <w:t>Performance</w:t>
      </w:r>
      <w:r>
        <w:rPr>
          <w:noProof/>
        </w:rPr>
        <w:tab/>
      </w:r>
      <w:r>
        <w:rPr>
          <w:noProof/>
        </w:rPr>
        <w:fldChar w:fldCharType="begin"/>
      </w:r>
      <w:r>
        <w:rPr>
          <w:noProof/>
        </w:rPr>
        <w:instrText xml:space="preserve"> PAGEREF _Toc221813178 \h </w:instrText>
      </w:r>
      <w:r>
        <w:rPr>
          <w:noProof/>
        </w:rPr>
      </w:r>
      <w:r>
        <w:rPr>
          <w:noProof/>
        </w:rPr>
        <w:fldChar w:fldCharType="separate"/>
      </w:r>
      <w:r>
        <w:rPr>
          <w:noProof/>
        </w:rPr>
        <w:t>6</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6.3</w:t>
      </w:r>
      <w:r>
        <w:rPr>
          <w:rFonts w:asciiTheme="minorHAnsi" w:eastAsiaTheme="minorEastAsia" w:hAnsiTheme="minorHAnsi" w:cstheme="minorBidi"/>
          <w:noProof/>
          <w:szCs w:val="22"/>
        </w:rPr>
        <w:tab/>
      </w:r>
      <w:r>
        <w:rPr>
          <w:noProof/>
        </w:rPr>
        <w:t>Security</w:t>
      </w:r>
      <w:r>
        <w:rPr>
          <w:noProof/>
        </w:rPr>
        <w:tab/>
      </w:r>
      <w:r>
        <w:rPr>
          <w:noProof/>
        </w:rPr>
        <w:fldChar w:fldCharType="begin"/>
      </w:r>
      <w:r>
        <w:rPr>
          <w:noProof/>
        </w:rPr>
        <w:instrText xml:space="preserve"> PAGEREF _Toc221813179 \h </w:instrText>
      </w:r>
      <w:r>
        <w:rPr>
          <w:noProof/>
        </w:rPr>
      </w:r>
      <w:r>
        <w:rPr>
          <w:noProof/>
        </w:rPr>
        <w:fldChar w:fldCharType="separate"/>
      </w:r>
      <w:r>
        <w:rPr>
          <w:noProof/>
        </w:rPr>
        <w:t>6</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6.4</w:t>
      </w:r>
      <w:r>
        <w:rPr>
          <w:rFonts w:asciiTheme="minorHAnsi" w:eastAsiaTheme="minorEastAsia" w:hAnsiTheme="minorHAnsi" w:cstheme="minorBidi"/>
          <w:noProof/>
          <w:szCs w:val="22"/>
        </w:rPr>
        <w:tab/>
      </w:r>
      <w:r>
        <w:rPr>
          <w:noProof/>
        </w:rPr>
        <w:t>Safety</w:t>
      </w:r>
      <w:r>
        <w:rPr>
          <w:noProof/>
        </w:rPr>
        <w:tab/>
      </w:r>
      <w:r>
        <w:rPr>
          <w:noProof/>
        </w:rPr>
        <w:fldChar w:fldCharType="begin"/>
      </w:r>
      <w:r>
        <w:rPr>
          <w:noProof/>
        </w:rPr>
        <w:instrText xml:space="preserve"> PAGEREF _Toc221813180 \h </w:instrText>
      </w:r>
      <w:r>
        <w:rPr>
          <w:noProof/>
        </w:rPr>
      </w:r>
      <w:r>
        <w:rPr>
          <w:noProof/>
        </w:rPr>
        <w:fldChar w:fldCharType="separate"/>
      </w:r>
      <w:r>
        <w:rPr>
          <w:noProof/>
        </w:rPr>
        <w:t>6</w:t>
      </w:r>
      <w:r>
        <w:rPr>
          <w:noProof/>
        </w:rPr>
        <w:fldChar w:fldCharType="end"/>
      </w:r>
    </w:p>
    <w:p w:rsidR="00D379F8" w:rsidRDefault="00D379F8">
      <w:pPr>
        <w:pStyle w:val="TOC2"/>
        <w:tabs>
          <w:tab w:val="left" w:pos="960"/>
        </w:tabs>
        <w:rPr>
          <w:rFonts w:asciiTheme="minorHAnsi" w:eastAsiaTheme="minorEastAsia" w:hAnsiTheme="minorHAnsi" w:cstheme="minorBidi"/>
          <w:noProof/>
          <w:szCs w:val="22"/>
        </w:rPr>
      </w:pPr>
      <w:r>
        <w:rPr>
          <w:noProof/>
        </w:rPr>
        <w:t>6.5</w:t>
      </w:r>
      <w:r>
        <w:rPr>
          <w:rFonts w:asciiTheme="minorHAnsi" w:eastAsiaTheme="minorEastAsia" w:hAnsiTheme="minorHAnsi" w:cstheme="minorBidi"/>
          <w:noProof/>
          <w:szCs w:val="22"/>
        </w:rPr>
        <w:tab/>
      </w:r>
      <w:r>
        <w:rPr>
          <w:noProof/>
        </w:rPr>
        <w:t>[Others as relevant]</w:t>
      </w:r>
      <w:r>
        <w:rPr>
          <w:noProof/>
        </w:rPr>
        <w:tab/>
      </w:r>
      <w:r>
        <w:rPr>
          <w:noProof/>
        </w:rPr>
        <w:fldChar w:fldCharType="begin"/>
      </w:r>
      <w:r>
        <w:rPr>
          <w:noProof/>
        </w:rPr>
        <w:instrText xml:space="preserve"> PAGEREF _Toc221813181 \h </w:instrText>
      </w:r>
      <w:r>
        <w:rPr>
          <w:noProof/>
        </w:rPr>
      </w:r>
      <w:r>
        <w:rPr>
          <w:noProof/>
        </w:rPr>
        <w:fldChar w:fldCharType="separate"/>
      </w:r>
      <w:r>
        <w:rPr>
          <w:noProof/>
        </w:rPr>
        <w:t>6</w:t>
      </w:r>
      <w:r>
        <w:rPr>
          <w:noProof/>
        </w:rPr>
        <w:fldChar w:fldCharType="end"/>
      </w:r>
    </w:p>
    <w:p w:rsidR="00D379F8" w:rsidRDefault="00D379F8">
      <w:pPr>
        <w:pStyle w:val="TOC1"/>
        <w:rPr>
          <w:rFonts w:asciiTheme="minorHAnsi" w:eastAsiaTheme="minorEastAsia" w:hAnsiTheme="minorHAnsi" w:cstheme="minorBidi"/>
          <w:b w:val="0"/>
          <w:sz w:val="22"/>
          <w:szCs w:val="22"/>
        </w:rPr>
      </w:pPr>
      <w:r>
        <w:t>7.</w:t>
      </w:r>
      <w:r>
        <w:rPr>
          <w:rFonts w:asciiTheme="minorHAnsi" w:eastAsiaTheme="minorEastAsia" w:hAnsiTheme="minorHAnsi" w:cstheme="minorBidi"/>
          <w:b w:val="0"/>
          <w:sz w:val="22"/>
          <w:szCs w:val="22"/>
        </w:rPr>
        <w:tab/>
      </w:r>
      <w:r>
        <w:t>Internationalization and Localization Requirements</w:t>
      </w:r>
      <w:r>
        <w:tab/>
      </w:r>
      <w:r>
        <w:fldChar w:fldCharType="begin"/>
      </w:r>
      <w:r>
        <w:instrText xml:space="preserve"> PAGEREF _Toc221813182 \h </w:instrText>
      </w:r>
      <w:r>
        <w:fldChar w:fldCharType="separate"/>
      </w:r>
      <w:r>
        <w:t>6</w:t>
      </w:r>
      <w:r>
        <w:fldChar w:fldCharType="end"/>
      </w:r>
    </w:p>
    <w:p w:rsidR="00D379F8" w:rsidRDefault="00D379F8">
      <w:pPr>
        <w:pStyle w:val="TOC1"/>
        <w:rPr>
          <w:rFonts w:asciiTheme="minorHAnsi" w:eastAsiaTheme="minorEastAsia" w:hAnsiTheme="minorHAnsi" w:cstheme="minorBidi"/>
          <w:b w:val="0"/>
          <w:sz w:val="22"/>
          <w:szCs w:val="22"/>
        </w:rPr>
      </w:pPr>
      <w:r>
        <w:t>8.</w:t>
      </w:r>
      <w:r>
        <w:rPr>
          <w:rFonts w:asciiTheme="minorHAnsi" w:eastAsiaTheme="minorEastAsia" w:hAnsiTheme="minorHAnsi" w:cstheme="minorBidi"/>
          <w:b w:val="0"/>
          <w:sz w:val="22"/>
          <w:szCs w:val="22"/>
        </w:rPr>
        <w:tab/>
      </w:r>
      <w:r>
        <w:t>Other Requirements</w:t>
      </w:r>
      <w:r>
        <w:tab/>
      </w:r>
      <w:r>
        <w:fldChar w:fldCharType="begin"/>
      </w:r>
      <w:r>
        <w:instrText xml:space="preserve"> PAGEREF _Toc221813183 \h </w:instrText>
      </w:r>
      <w:r>
        <w:fldChar w:fldCharType="separate"/>
      </w:r>
      <w:r>
        <w:t>7</w:t>
      </w:r>
      <w:r>
        <w:fldChar w:fldCharType="end"/>
      </w:r>
    </w:p>
    <w:p w:rsidR="00D379F8" w:rsidRDefault="00D379F8">
      <w:pPr>
        <w:pStyle w:val="TOC1"/>
        <w:rPr>
          <w:rFonts w:asciiTheme="minorHAnsi" w:eastAsiaTheme="minorEastAsia" w:hAnsiTheme="minorHAnsi" w:cstheme="minorBidi"/>
          <w:b w:val="0"/>
          <w:sz w:val="22"/>
          <w:szCs w:val="22"/>
        </w:rPr>
      </w:pPr>
      <w:r>
        <w:t>Appendix A: Glossary</w:t>
      </w:r>
      <w:r>
        <w:tab/>
      </w:r>
      <w:r>
        <w:fldChar w:fldCharType="begin"/>
      </w:r>
      <w:r>
        <w:instrText xml:space="preserve"> PAGEREF _Toc221813184 \h </w:instrText>
      </w:r>
      <w:r>
        <w:fldChar w:fldCharType="separate"/>
      </w:r>
      <w:r>
        <w:t>7</w:t>
      </w:r>
      <w:r>
        <w:fldChar w:fldCharType="end"/>
      </w:r>
    </w:p>
    <w:p w:rsidR="00D379F8" w:rsidRDefault="00D379F8">
      <w:pPr>
        <w:pStyle w:val="TOC1"/>
        <w:rPr>
          <w:rFonts w:asciiTheme="minorHAnsi" w:eastAsiaTheme="minorEastAsia" w:hAnsiTheme="minorHAnsi" w:cstheme="minorBidi"/>
          <w:b w:val="0"/>
          <w:sz w:val="22"/>
          <w:szCs w:val="22"/>
        </w:rPr>
      </w:pPr>
      <w:r>
        <w:t>Appendix B: Analysis Models</w:t>
      </w:r>
      <w:r>
        <w:tab/>
      </w:r>
      <w:r>
        <w:fldChar w:fldCharType="begin"/>
      </w:r>
      <w:r>
        <w:instrText xml:space="preserve"> PAGEREF _Toc221813185 \h </w:instrText>
      </w:r>
      <w:r>
        <w:fldChar w:fldCharType="separate"/>
      </w:r>
      <w:r>
        <w:t>7</w:t>
      </w:r>
      <w:r>
        <w:fldChar w:fldCharType="end"/>
      </w:r>
    </w:p>
    <w:p w:rsidR="00310C4B" w:rsidRPr="005F23D7" w:rsidRDefault="004F30EB">
      <w:r>
        <w:rPr>
          <w:noProof/>
        </w:rPr>
        <w:fldChar w:fldCharType="end"/>
      </w:r>
    </w:p>
    <w:p w:rsidR="00310C4B" w:rsidRPr="005F23D7" w:rsidRDefault="00310C4B"/>
    <w:p w:rsidR="00310C4B" w:rsidRPr="005F23D7" w:rsidRDefault="00310C4B">
      <w:pPr>
        <w:pStyle w:val="TOCEntry"/>
      </w:pPr>
      <w:bookmarkStart w:id="7" w:name="_Toc221813141"/>
      <w:r w:rsidRPr="005F23D7">
        <w:lastRenderedPageBreak/>
        <w:t>Revision History</w:t>
      </w:r>
      <w:bookmarkEnd w:id="7"/>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310C4B" w:rsidRPr="005F23D7">
        <w:tc>
          <w:tcPr>
            <w:tcW w:w="2160" w:type="dxa"/>
            <w:tcBorders>
              <w:top w:val="single" w:sz="12" w:space="0" w:color="auto"/>
              <w:bottom w:val="double" w:sz="12" w:space="0" w:color="auto"/>
            </w:tcBorders>
          </w:tcPr>
          <w:p w:rsidR="00310C4B" w:rsidRPr="005F23D7" w:rsidRDefault="00310C4B" w:rsidP="00F33D2A">
            <w:pPr>
              <w:rPr>
                <w:b/>
              </w:rPr>
            </w:pPr>
            <w:r w:rsidRPr="005F23D7">
              <w:rPr>
                <w:b/>
              </w:rPr>
              <w:t>Name</w:t>
            </w:r>
          </w:p>
        </w:tc>
        <w:tc>
          <w:tcPr>
            <w:tcW w:w="1170" w:type="dxa"/>
            <w:tcBorders>
              <w:top w:val="single" w:sz="12" w:space="0" w:color="auto"/>
              <w:bottom w:val="double" w:sz="12" w:space="0" w:color="auto"/>
            </w:tcBorders>
          </w:tcPr>
          <w:p w:rsidR="00310C4B" w:rsidRPr="005F23D7" w:rsidRDefault="00310C4B" w:rsidP="00F33D2A">
            <w:pPr>
              <w:rPr>
                <w:b/>
              </w:rPr>
            </w:pPr>
            <w:r w:rsidRPr="005F23D7">
              <w:rPr>
                <w:b/>
              </w:rPr>
              <w:t>Date</w:t>
            </w:r>
          </w:p>
        </w:tc>
        <w:tc>
          <w:tcPr>
            <w:tcW w:w="4954" w:type="dxa"/>
            <w:tcBorders>
              <w:top w:val="single" w:sz="12" w:space="0" w:color="auto"/>
              <w:bottom w:val="double" w:sz="12" w:space="0" w:color="auto"/>
            </w:tcBorders>
          </w:tcPr>
          <w:p w:rsidR="00310C4B" w:rsidRPr="005F23D7" w:rsidRDefault="00310C4B" w:rsidP="00F33D2A">
            <w:pPr>
              <w:rPr>
                <w:b/>
              </w:rPr>
            </w:pPr>
            <w:r w:rsidRPr="005F23D7">
              <w:rPr>
                <w:b/>
              </w:rPr>
              <w:t>Reason For Changes</w:t>
            </w:r>
          </w:p>
        </w:tc>
        <w:tc>
          <w:tcPr>
            <w:tcW w:w="1584" w:type="dxa"/>
            <w:tcBorders>
              <w:top w:val="single" w:sz="12" w:space="0" w:color="auto"/>
              <w:bottom w:val="double" w:sz="12" w:space="0" w:color="auto"/>
            </w:tcBorders>
          </w:tcPr>
          <w:p w:rsidR="00310C4B" w:rsidRPr="005F23D7" w:rsidRDefault="00310C4B" w:rsidP="00F33D2A">
            <w:pPr>
              <w:rPr>
                <w:b/>
              </w:rPr>
            </w:pPr>
            <w:r w:rsidRPr="005F23D7">
              <w:rPr>
                <w:b/>
              </w:rPr>
              <w:t>Version</w:t>
            </w:r>
          </w:p>
        </w:tc>
      </w:tr>
      <w:tr w:rsidR="00310C4B" w:rsidRPr="005F23D7">
        <w:tc>
          <w:tcPr>
            <w:tcW w:w="2160" w:type="dxa"/>
            <w:tcBorders>
              <w:top w:val="nil"/>
            </w:tcBorders>
          </w:tcPr>
          <w:p w:rsidR="00310C4B" w:rsidRPr="005F23D7" w:rsidRDefault="00861917">
            <w:pPr>
              <w:spacing w:before="40" w:after="40"/>
            </w:pPr>
            <w:r>
              <w:t>K. Erkut Çiftlikçi</w:t>
            </w:r>
          </w:p>
        </w:tc>
        <w:tc>
          <w:tcPr>
            <w:tcW w:w="1170" w:type="dxa"/>
            <w:tcBorders>
              <w:top w:val="nil"/>
            </w:tcBorders>
          </w:tcPr>
          <w:p w:rsidR="00310C4B" w:rsidRPr="005F23D7" w:rsidRDefault="00861917">
            <w:pPr>
              <w:spacing w:before="40" w:after="40"/>
            </w:pPr>
            <w:r>
              <w:t>Feb 12, 2026</w:t>
            </w:r>
          </w:p>
        </w:tc>
        <w:tc>
          <w:tcPr>
            <w:tcW w:w="4954" w:type="dxa"/>
            <w:tcBorders>
              <w:top w:val="nil"/>
            </w:tcBorders>
          </w:tcPr>
          <w:p w:rsidR="00310C4B" w:rsidRPr="005F23D7" w:rsidRDefault="00861917">
            <w:pPr>
              <w:spacing w:before="40" w:after="40"/>
            </w:pPr>
            <w:r>
              <w:t>Initial Draft</w:t>
            </w:r>
          </w:p>
        </w:tc>
        <w:tc>
          <w:tcPr>
            <w:tcW w:w="1584" w:type="dxa"/>
            <w:tcBorders>
              <w:top w:val="nil"/>
            </w:tcBorders>
          </w:tcPr>
          <w:p w:rsidR="00310C4B" w:rsidRPr="005F23D7" w:rsidRDefault="002C7FB1">
            <w:pPr>
              <w:spacing w:before="40" w:after="40"/>
            </w:pPr>
            <w:r>
              <w:t>0.1.0</w:t>
            </w:r>
          </w:p>
        </w:tc>
      </w:tr>
      <w:tr w:rsidR="00310C4B" w:rsidRPr="005F23D7">
        <w:tc>
          <w:tcPr>
            <w:tcW w:w="2160" w:type="dxa"/>
            <w:tcBorders>
              <w:bottom w:val="single" w:sz="12" w:space="0" w:color="auto"/>
            </w:tcBorders>
          </w:tcPr>
          <w:p w:rsidR="00310C4B" w:rsidRPr="005F23D7" w:rsidRDefault="002C7FB1">
            <w:pPr>
              <w:spacing w:before="40" w:after="40"/>
            </w:pPr>
            <w:r>
              <w:t>K. Erkut Çiftlikçi</w:t>
            </w:r>
          </w:p>
        </w:tc>
        <w:tc>
          <w:tcPr>
            <w:tcW w:w="1170" w:type="dxa"/>
            <w:tcBorders>
              <w:bottom w:val="single" w:sz="12" w:space="0" w:color="auto"/>
            </w:tcBorders>
          </w:tcPr>
          <w:p w:rsidR="00310C4B" w:rsidRPr="005F23D7" w:rsidRDefault="002C7FB1">
            <w:pPr>
              <w:spacing w:before="40" w:after="40"/>
            </w:pPr>
            <w:r>
              <w:t>Feb 15,2026</w:t>
            </w:r>
          </w:p>
        </w:tc>
        <w:tc>
          <w:tcPr>
            <w:tcW w:w="4954" w:type="dxa"/>
            <w:tcBorders>
              <w:bottom w:val="single" w:sz="12" w:space="0" w:color="auto"/>
            </w:tcBorders>
          </w:tcPr>
          <w:p w:rsidR="00310C4B" w:rsidRPr="005F23D7" w:rsidRDefault="002C7FB1">
            <w:pPr>
              <w:spacing w:before="40" w:after="40"/>
            </w:pPr>
            <w:r>
              <w:t>Added ERD, Feature Tree, and Sequence Diagrams</w:t>
            </w:r>
          </w:p>
        </w:tc>
        <w:tc>
          <w:tcPr>
            <w:tcW w:w="1584" w:type="dxa"/>
            <w:tcBorders>
              <w:bottom w:val="single" w:sz="12" w:space="0" w:color="auto"/>
            </w:tcBorders>
          </w:tcPr>
          <w:p w:rsidR="00310C4B" w:rsidRPr="005F23D7" w:rsidRDefault="002C7FB1">
            <w:pPr>
              <w:spacing w:before="40" w:after="40"/>
            </w:pPr>
            <w:r>
              <w:t>0.2.0</w:t>
            </w:r>
          </w:p>
        </w:tc>
      </w:tr>
    </w:tbl>
    <w:p w:rsidR="00310C4B" w:rsidRPr="005F23D7" w:rsidRDefault="00310C4B"/>
    <w:p w:rsidR="00310C4B" w:rsidRPr="005F23D7" w:rsidRDefault="00310C4B"/>
    <w:p w:rsidR="00310C4B" w:rsidRPr="005F23D7" w:rsidRDefault="00310C4B">
      <w:pPr>
        <w:sectPr w:rsidR="00310C4B" w:rsidRPr="005F23D7">
          <w:headerReference w:type="default" r:id="rId9"/>
          <w:footerReference w:type="default" r:id="rId10"/>
          <w:pgSz w:w="12240" w:h="15840" w:code="1"/>
          <w:pgMar w:top="1440" w:right="1440" w:bottom="1440" w:left="1440" w:header="720" w:footer="720" w:gutter="0"/>
          <w:pgNumType w:fmt="lowerRoman"/>
          <w:cols w:space="720"/>
        </w:sectPr>
      </w:pPr>
    </w:p>
    <w:p w:rsidR="00CA2467" w:rsidRDefault="00310C4B" w:rsidP="00CA2467">
      <w:pPr>
        <w:pStyle w:val="Heading1"/>
      </w:pPr>
      <w:bookmarkStart w:id="8" w:name="_Toc439994665"/>
      <w:bookmarkStart w:id="9" w:name="_Toc221813142"/>
      <w:r w:rsidRPr="005F23D7">
        <w:lastRenderedPageBreak/>
        <w:t>Introduction</w:t>
      </w:r>
      <w:bookmarkStart w:id="10" w:name="_Toc439994667"/>
      <w:bookmarkEnd w:id="8"/>
      <w:bookmarkEnd w:id="9"/>
    </w:p>
    <w:p w:rsidR="0017676A" w:rsidRPr="0017676A" w:rsidRDefault="0017676A" w:rsidP="0017676A">
      <w:r>
        <w:t xml:space="preserve">This section provides a functional overview, strategic objectives, and the organizational structure of this document for the </w:t>
      </w:r>
      <w:r>
        <w:rPr>
          <w:b/>
        </w:rPr>
        <w:t xml:space="preserve">TaxEngine </w:t>
      </w:r>
      <w:r>
        <w:t xml:space="preserve">project. Beyond being a technical application, the project is designed as a </w:t>
      </w:r>
      <w:r>
        <w:rPr>
          <w:b/>
        </w:rPr>
        <w:t xml:space="preserve">Proof of Concept (PoC) </w:t>
      </w:r>
      <w:r>
        <w:t>value proposition for brokerage</w:t>
      </w:r>
      <w:r w:rsidR="005B2E3E">
        <w:t xml:space="preserve"> firms</w:t>
      </w:r>
    </w:p>
    <w:p w:rsidR="00310C4B" w:rsidRDefault="00310C4B" w:rsidP="005B2E3E">
      <w:pPr>
        <w:pStyle w:val="Heading2"/>
      </w:pPr>
      <w:bookmarkStart w:id="11" w:name="_Toc221813143"/>
      <w:r w:rsidRPr="005F23D7">
        <w:t>Purpose</w:t>
      </w:r>
      <w:bookmarkEnd w:id="10"/>
      <w:bookmarkEnd w:id="11"/>
      <w:r w:rsidRPr="005F23D7">
        <w:t xml:space="preserve"> </w:t>
      </w:r>
    </w:p>
    <w:p w:rsidR="005B2E3E" w:rsidRDefault="005B2E3E" w:rsidP="005B2E3E">
      <w:r>
        <w:t xml:space="preserve">This document specifies the software requirements for </w:t>
      </w:r>
      <w:r>
        <w:rPr>
          <w:b/>
        </w:rPr>
        <w:t xml:space="preserve">TaxEngine Version 1.0. </w:t>
      </w:r>
      <w:r>
        <w:t xml:space="preserve">The primary objective of the software is to present a </w:t>
      </w:r>
      <w:r>
        <w:rPr>
          <w:b/>
        </w:rPr>
        <w:t xml:space="preserve">Proof of Concept (PoC) </w:t>
      </w:r>
      <w:r w:rsidRPr="005B2E3E">
        <w:t>developed to enhance the com</w:t>
      </w:r>
      <w:r>
        <w:t>petitive edge of brokerage firms in Turkey regarding foreign stock market transactions. The intended audience for this document includes:</w:t>
      </w:r>
    </w:p>
    <w:p w:rsidR="005B2E3E" w:rsidRDefault="005B2E3E" w:rsidP="005B2E3E">
      <w:pPr>
        <w:pStyle w:val="ListParagraph"/>
        <w:numPr>
          <w:ilvl w:val="0"/>
          <w:numId w:val="3"/>
        </w:numPr>
      </w:pPr>
      <w:r>
        <w:rPr>
          <w:b/>
        </w:rPr>
        <w:t xml:space="preserve">Corporate Stakeholders and Decision Makers: </w:t>
      </w:r>
      <w:r>
        <w:t>Executives evaluating the project’s contribution to the business model and its ability to close the “feature gap” compared the competitors</w:t>
      </w:r>
    </w:p>
    <w:p w:rsidR="005B2E3E" w:rsidRDefault="005B2E3E" w:rsidP="005B2E3E">
      <w:pPr>
        <w:pStyle w:val="ListParagraph"/>
        <w:numPr>
          <w:ilvl w:val="0"/>
          <w:numId w:val="3"/>
        </w:numPr>
      </w:pPr>
      <w:r>
        <w:rPr>
          <w:b/>
        </w:rPr>
        <w:t xml:space="preserve">Software Development Teams: </w:t>
      </w:r>
      <w:r>
        <w:t>Engineers reviewing the system’s compatibility with micro services architecture and its technical requirements.</w:t>
      </w:r>
    </w:p>
    <w:p w:rsidR="005B2E3E" w:rsidRPr="005B2E3E" w:rsidRDefault="005B2E3E" w:rsidP="005B2E3E">
      <w:pPr>
        <w:pStyle w:val="ListParagraph"/>
        <w:numPr>
          <w:ilvl w:val="0"/>
          <w:numId w:val="3"/>
        </w:numPr>
      </w:pPr>
      <w:r>
        <w:rPr>
          <w:b/>
        </w:rPr>
        <w:t xml:space="preserve">Tax and Compliance Departments: </w:t>
      </w:r>
      <w:r>
        <w:t xml:space="preserve">Specialists auditing the alignment of the calculation logic with legal regulations.  </w:t>
      </w:r>
    </w:p>
    <w:p w:rsidR="00310C4B" w:rsidRDefault="00310C4B" w:rsidP="005B2E3E">
      <w:pPr>
        <w:pStyle w:val="Heading2"/>
      </w:pPr>
      <w:bookmarkStart w:id="12" w:name="_Toc439994668"/>
      <w:bookmarkStart w:id="13" w:name="_Toc221813144"/>
      <w:r w:rsidRPr="005F23D7">
        <w:t>Document Conventions</w:t>
      </w:r>
      <w:bookmarkEnd w:id="12"/>
      <w:bookmarkEnd w:id="13"/>
    </w:p>
    <w:p w:rsidR="005B2E3E" w:rsidRDefault="005B2E3E" w:rsidP="005B2E3E">
      <w:r>
        <w:t>The following standards are followed in this document:</w:t>
      </w:r>
    </w:p>
    <w:p w:rsidR="005B2E3E" w:rsidRPr="005B2E3E" w:rsidRDefault="005B2E3E" w:rsidP="005B2E3E">
      <w:pPr>
        <w:pStyle w:val="ListParagraph"/>
        <w:numPr>
          <w:ilvl w:val="0"/>
          <w:numId w:val="4"/>
        </w:numPr>
      </w:pPr>
      <w:r>
        <w:rPr>
          <w:b/>
        </w:rPr>
        <w:t xml:space="preserve">Strategic Highlights: </w:t>
      </w:r>
      <w:r>
        <w:t xml:space="preserve">Portions indicating business goals are emphasized in </w:t>
      </w:r>
      <w:r>
        <w:rPr>
          <w:i/>
        </w:rPr>
        <w:t>italics.</w:t>
      </w:r>
    </w:p>
    <w:p w:rsidR="005B2E3E" w:rsidRDefault="005B2E3E" w:rsidP="005B2E3E">
      <w:pPr>
        <w:pStyle w:val="ListParagraph"/>
        <w:numPr>
          <w:ilvl w:val="0"/>
          <w:numId w:val="4"/>
        </w:numPr>
      </w:pPr>
      <w:r>
        <w:rPr>
          <w:b/>
        </w:rPr>
        <w:t xml:space="preserve">Technical Terms: </w:t>
      </w:r>
      <w:r>
        <w:t>Terms such as FIFO, WPI(Yİ-ÜFE), and Capital Increase Gain are used consistently in capital letters or within</w:t>
      </w:r>
      <w:r w:rsidR="00A06772">
        <w:t xml:space="preserve"> their specific definitions throughout the document.</w:t>
      </w:r>
    </w:p>
    <w:p w:rsidR="00A06772" w:rsidRPr="005B2E3E" w:rsidRDefault="00A06772" w:rsidP="005B2E3E">
      <w:pPr>
        <w:pStyle w:val="ListParagraph"/>
        <w:numPr>
          <w:ilvl w:val="0"/>
          <w:numId w:val="4"/>
        </w:numPr>
      </w:pPr>
      <w:r>
        <w:rPr>
          <w:b/>
        </w:rPr>
        <w:t>Prioritization:</w:t>
      </w:r>
      <w:r>
        <w:t xml:space="preserve"> Requirements are classified as “Critical” (Legal necessity), “High” (Core Function), and “Optional” (User Experience).</w:t>
      </w:r>
    </w:p>
    <w:p w:rsidR="00310C4B" w:rsidRDefault="00310C4B" w:rsidP="00A06772">
      <w:pPr>
        <w:pStyle w:val="Heading2"/>
      </w:pPr>
      <w:bookmarkStart w:id="14" w:name="_Toc439994670"/>
      <w:bookmarkStart w:id="15" w:name="_Toc221813145"/>
      <w:r w:rsidRPr="005F23D7">
        <w:t>Project Scope</w:t>
      </w:r>
      <w:bookmarkEnd w:id="14"/>
      <w:bookmarkEnd w:id="15"/>
    </w:p>
    <w:p w:rsidR="00A06772" w:rsidRDefault="00A06772" w:rsidP="00A06772">
      <w:r>
        <w:rPr>
          <w:b/>
        </w:rPr>
        <w:t xml:space="preserve">TaxEngine </w:t>
      </w:r>
      <w:r>
        <w:t>is a calculation engine that automatically transforms raw transaction history (CSV/Excel) provided by brokerage firms into a tax declaration summary.</w:t>
      </w:r>
    </w:p>
    <w:p w:rsidR="00A06772" w:rsidRDefault="00A06772" w:rsidP="00CD1231">
      <w:pPr>
        <w:pStyle w:val="ListParagraph"/>
        <w:numPr>
          <w:ilvl w:val="0"/>
          <w:numId w:val="17"/>
        </w:numPr>
      </w:pPr>
      <w:r w:rsidRPr="00CD1231">
        <w:rPr>
          <w:b/>
        </w:rPr>
        <w:t xml:space="preserve">Business Objective (PoC Goal): </w:t>
      </w:r>
      <w:r>
        <w:t>To prove that the “Foreign Stock Tax Reporting” feature –currently offered as a standard service by competitors (e.g., Midas Menkul Degerler) but not yet available in the target institution- can be implemented internally quickly and cost-effectively.</w:t>
      </w:r>
    </w:p>
    <w:p w:rsidR="00CD1231" w:rsidRDefault="00CD1231" w:rsidP="00CD1231">
      <w:pPr>
        <w:pStyle w:val="ListParagraph"/>
        <w:numPr>
          <w:ilvl w:val="0"/>
          <w:numId w:val="17"/>
        </w:numPr>
      </w:pPr>
      <w:r>
        <w:rPr>
          <w:b/>
        </w:rPr>
        <w:t>Functional Scope:</w:t>
      </w:r>
      <w:r>
        <w:t xml:space="preserve"> Standardization of raw transaction data from various brokerage firms</w:t>
      </w:r>
    </w:p>
    <w:p w:rsidR="00CD1231" w:rsidRDefault="00CD1231" w:rsidP="00CD1231">
      <w:pPr>
        <w:pStyle w:val="ListParagraph"/>
        <w:numPr>
          <w:ilvl w:val="1"/>
          <w:numId w:val="17"/>
        </w:numPr>
      </w:pPr>
      <w:r>
        <w:rPr>
          <w:b/>
        </w:rPr>
        <w:t>FIFO-</w:t>
      </w:r>
      <w:r>
        <w:t xml:space="preserve">based TL cost and gain analysis using CBRT(TCMB) exchange rates </w:t>
      </w:r>
      <w:r w:rsidR="00A8023C">
        <w:t>and TURKSTAT (TÜİK) indices.</w:t>
      </w:r>
    </w:p>
    <w:p w:rsidR="00A8023C" w:rsidRDefault="00A8023C" w:rsidP="00CD1231">
      <w:pPr>
        <w:pStyle w:val="ListParagraph"/>
        <w:numPr>
          <w:ilvl w:val="1"/>
          <w:numId w:val="17"/>
        </w:numPr>
      </w:pPr>
      <w:r>
        <w:t>Calculation of the final taxable base within the scope of Income Tax Law (GVK) Articles 80-81.</w:t>
      </w:r>
    </w:p>
    <w:p w:rsidR="00A8023C" w:rsidRPr="00A06772" w:rsidRDefault="00A8023C" w:rsidP="00A8023C">
      <w:pPr>
        <w:pStyle w:val="ListParagraph"/>
        <w:numPr>
          <w:ilvl w:val="0"/>
          <w:numId w:val="17"/>
        </w:numPr>
      </w:pPr>
      <w:r>
        <w:rPr>
          <w:b/>
        </w:rPr>
        <w:t xml:space="preserve">Out of Scope: </w:t>
      </w:r>
      <w:r>
        <w:t>The system does not have direct e-government/Revenue Administration (GİB) integration; outputs are intended as an “advisory report”.</w:t>
      </w:r>
    </w:p>
    <w:p w:rsidR="00310C4B" w:rsidRDefault="00310C4B" w:rsidP="00A06772">
      <w:pPr>
        <w:pStyle w:val="Heading2"/>
      </w:pPr>
      <w:bookmarkStart w:id="16" w:name="_Toc439994672"/>
      <w:bookmarkStart w:id="17" w:name="_Toc221813146"/>
      <w:r w:rsidRPr="005F23D7">
        <w:lastRenderedPageBreak/>
        <w:t>References</w:t>
      </w:r>
      <w:bookmarkEnd w:id="16"/>
      <w:bookmarkEnd w:id="17"/>
    </w:p>
    <w:p w:rsidR="00A06772" w:rsidRDefault="00A06772" w:rsidP="00A06772">
      <w:r>
        <w:t>The following legal and technical resources were used as a references during the development of this document and the software:</w:t>
      </w:r>
    </w:p>
    <w:p w:rsidR="00A06772" w:rsidRDefault="00A06772" w:rsidP="00A06772">
      <w:pPr>
        <w:pStyle w:val="ListParagraph"/>
        <w:numPr>
          <w:ilvl w:val="0"/>
          <w:numId w:val="5"/>
        </w:numPr>
      </w:pPr>
      <w:r w:rsidRPr="00E436C1">
        <w:rPr>
          <w:b/>
        </w:rPr>
        <w:t>Income Tax Law(GVK):</w:t>
      </w:r>
      <w:r>
        <w:t xml:space="preserve"> </w:t>
      </w:r>
      <w:r w:rsidR="00E436C1">
        <w:t>Duplicate Article 80 (Capital Increase Gains) and Article 81 (Cost Indexing)</w:t>
      </w:r>
    </w:p>
    <w:p w:rsidR="00E436C1" w:rsidRPr="00E436C1" w:rsidRDefault="00E436C1" w:rsidP="00A06772">
      <w:pPr>
        <w:pStyle w:val="ListParagraph"/>
        <w:numPr>
          <w:ilvl w:val="0"/>
          <w:numId w:val="5"/>
        </w:numPr>
        <w:rPr>
          <w:b/>
        </w:rPr>
      </w:pPr>
      <w:r w:rsidRPr="00E436C1">
        <w:rPr>
          <w:b/>
        </w:rPr>
        <w:t>CBRT</w:t>
      </w:r>
      <w:r>
        <w:rPr>
          <w:b/>
        </w:rPr>
        <w:t xml:space="preserve">(TCMB): </w:t>
      </w:r>
      <w:r>
        <w:t>“Indicative Foreign Exchange Buying Rate” according to transaction dates.</w:t>
      </w:r>
    </w:p>
    <w:p w:rsidR="00E436C1" w:rsidRPr="00E436C1" w:rsidRDefault="00E436C1" w:rsidP="00A06772">
      <w:pPr>
        <w:pStyle w:val="ListParagraph"/>
        <w:numPr>
          <w:ilvl w:val="0"/>
          <w:numId w:val="5"/>
        </w:numPr>
        <w:rPr>
          <w:b/>
        </w:rPr>
      </w:pPr>
      <w:r>
        <w:rPr>
          <w:b/>
        </w:rPr>
        <w:t xml:space="preserve">TURKSTAT(TÜİK): </w:t>
      </w:r>
      <w:r>
        <w:t>Monthly Domestic Producer Price Index (Yİ-ÜFE) tables.</w:t>
      </w:r>
    </w:p>
    <w:p w:rsidR="00E436C1" w:rsidRPr="00E436C1" w:rsidRDefault="00E436C1" w:rsidP="00A06772">
      <w:pPr>
        <w:pStyle w:val="ListParagraph"/>
        <w:numPr>
          <w:ilvl w:val="0"/>
          <w:numId w:val="5"/>
        </w:numPr>
        <w:rPr>
          <w:b/>
        </w:rPr>
      </w:pPr>
      <w:r>
        <w:rPr>
          <w:b/>
        </w:rPr>
        <w:t xml:space="preserve">Corporate Competitor Analysis: </w:t>
      </w:r>
      <w:r>
        <w:t>Tax reporting interfaces and report formats offered by other brokerage firms in the market.</w:t>
      </w:r>
    </w:p>
    <w:p w:rsidR="00CA2467" w:rsidRDefault="00310C4B" w:rsidP="00CA2467">
      <w:pPr>
        <w:pStyle w:val="Heading1"/>
      </w:pPr>
      <w:bookmarkStart w:id="18" w:name="_Toc439994673"/>
      <w:bookmarkStart w:id="19" w:name="_Toc221813147"/>
      <w:r w:rsidRPr="005F23D7">
        <w:t>Overall Description</w:t>
      </w:r>
      <w:bookmarkEnd w:id="18"/>
      <w:bookmarkEnd w:id="19"/>
    </w:p>
    <w:p w:rsidR="00E436C1" w:rsidRPr="00E436C1" w:rsidRDefault="00E436C1" w:rsidP="00E436C1">
      <w:r>
        <w:t>This section provides a high-level overview of the product’s environment, its intended users, and the constraints under which it must operate.</w:t>
      </w:r>
    </w:p>
    <w:p w:rsidR="00310C4B" w:rsidRDefault="00310C4B">
      <w:pPr>
        <w:pStyle w:val="Heading2"/>
      </w:pPr>
      <w:bookmarkStart w:id="20" w:name="_Toc439994674"/>
      <w:bookmarkStart w:id="21" w:name="_Toc221813148"/>
      <w:r w:rsidRPr="005F23D7">
        <w:t>Product Perspective</w:t>
      </w:r>
      <w:bookmarkEnd w:id="20"/>
      <w:bookmarkEnd w:id="21"/>
    </w:p>
    <w:p w:rsidR="00E436C1" w:rsidRPr="00E436C1" w:rsidRDefault="00E436C1" w:rsidP="00E436C1">
      <w:r>
        <w:rPr>
          <w:b/>
        </w:rPr>
        <w:t xml:space="preserve">TaxEngine </w:t>
      </w:r>
      <w:r>
        <w:t xml:space="preserve">is a standalone </w:t>
      </w:r>
      <w:r>
        <w:rPr>
          <w:b/>
        </w:rPr>
        <w:t xml:space="preserve">Proof of Concept (PoC) </w:t>
      </w:r>
      <w:r>
        <w:t>designed to bridge the functional gap between existing brokerage services and investor needs. It is envisioned as a modular component that can eventually be integrated into a larger fintech ecosystem as a micro service. The engine acts as a processing layer that consumes raw financial data and produces regulatory-compliant tax outputs.</w:t>
      </w:r>
    </w:p>
    <w:p w:rsidR="00310C4B" w:rsidRDefault="00CA2467">
      <w:pPr>
        <w:pStyle w:val="template"/>
      </w:pPr>
      <w:r>
        <w:t xml:space="preserve"> </w:t>
      </w:r>
    </w:p>
    <w:p w:rsidR="00310C4B" w:rsidRDefault="00310C4B" w:rsidP="0093213F">
      <w:pPr>
        <w:pStyle w:val="Heading2"/>
      </w:pPr>
      <w:bookmarkStart w:id="22" w:name="_Toc439994676"/>
      <w:bookmarkStart w:id="23" w:name="_Toc221813149"/>
      <w:r w:rsidRPr="005F23D7">
        <w:t>User Classes and Characteristics</w:t>
      </w:r>
      <w:bookmarkEnd w:id="22"/>
      <w:bookmarkEnd w:id="23"/>
    </w:p>
    <w:p w:rsidR="0093213F" w:rsidRPr="0093213F" w:rsidRDefault="0093213F" w:rsidP="0093213F">
      <w:pPr>
        <w:pStyle w:val="ListParagraph"/>
        <w:numPr>
          <w:ilvl w:val="0"/>
          <w:numId w:val="6"/>
        </w:numPr>
        <w:rPr>
          <w:b/>
        </w:rPr>
      </w:pPr>
      <w:r w:rsidRPr="0093213F">
        <w:rPr>
          <w:b/>
        </w:rPr>
        <w:t>Individual Investors (Full Taxpayers)</w:t>
      </w:r>
      <w:r>
        <w:rPr>
          <w:b/>
        </w:rPr>
        <w:t xml:space="preserve">: </w:t>
      </w:r>
      <w:r>
        <w:t>Residents in Turkey who trade in foreign markets. These users require a simplified interface to understand their tax liabilities without needing deep expertise in tax law.</w:t>
      </w:r>
    </w:p>
    <w:p w:rsidR="0093213F" w:rsidRPr="0093213F" w:rsidRDefault="0093213F" w:rsidP="0093213F">
      <w:pPr>
        <w:pStyle w:val="ListParagraph"/>
        <w:numPr>
          <w:ilvl w:val="0"/>
          <w:numId w:val="6"/>
        </w:numPr>
        <w:rPr>
          <w:b/>
        </w:rPr>
      </w:pPr>
      <w:r>
        <w:rPr>
          <w:b/>
        </w:rPr>
        <w:t xml:space="preserve">Corporate Analysis &amp; Support Teams: </w:t>
      </w:r>
      <w:r>
        <w:t>Employees of the brokerage firm who use the tool to provide value-added services to clients or to generate internal reports on customer activity for compliance purposes.</w:t>
      </w:r>
    </w:p>
    <w:p w:rsidR="00310C4B" w:rsidRPr="005F23D7" w:rsidRDefault="00310C4B">
      <w:pPr>
        <w:pStyle w:val="Heading2"/>
      </w:pPr>
      <w:bookmarkStart w:id="24" w:name="_Toc439994677"/>
      <w:bookmarkStart w:id="25" w:name="_Toc221813150"/>
      <w:r w:rsidRPr="005F23D7">
        <w:t>Operating Environment</w:t>
      </w:r>
      <w:bookmarkEnd w:id="24"/>
      <w:bookmarkEnd w:id="25"/>
    </w:p>
    <w:p w:rsidR="00310C4B" w:rsidRDefault="0093213F" w:rsidP="0093213F">
      <w:pPr>
        <w:pStyle w:val="template"/>
        <w:numPr>
          <w:ilvl w:val="0"/>
          <w:numId w:val="7"/>
        </w:numPr>
      </w:pPr>
      <w:r>
        <w:rPr>
          <w:b/>
        </w:rPr>
        <w:t xml:space="preserve">Platform Independence: </w:t>
      </w:r>
      <w:r>
        <w:t xml:space="preserve">The software shall run on any system supporting </w:t>
      </w:r>
      <w:r>
        <w:rPr>
          <w:b/>
        </w:rPr>
        <w:t xml:space="preserve">Python 3.10+ </w:t>
      </w:r>
      <w:r>
        <w:t>(Windows, Linux, macOS).</w:t>
      </w:r>
    </w:p>
    <w:p w:rsidR="0093213F" w:rsidRPr="0093213F" w:rsidRDefault="0093213F" w:rsidP="0093213F">
      <w:pPr>
        <w:pStyle w:val="template"/>
        <w:numPr>
          <w:ilvl w:val="0"/>
          <w:numId w:val="7"/>
        </w:numPr>
      </w:pPr>
      <w:r>
        <w:rPr>
          <w:b/>
        </w:rPr>
        <w:t xml:space="preserve">Data Dependencies: </w:t>
      </w:r>
      <w:r>
        <w:t>The system operates by processing local data files (CSV/Excel) and requires access to historical datasets for CBRT (TCMB) exchange rates and TURKSTAT (TÜİK) Yİ-ÜFE indicies.</w:t>
      </w:r>
    </w:p>
    <w:p w:rsidR="00310C4B" w:rsidRDefault="00310C4B" w:rsidP="0093213F">
      <w:pPr>
        <w:pStyle w:val="Heading2"/>
      </w:pPr>
      <w:bookmarkStart w:id="26" w:name="_Toc439994678"/>
      <w:bookmarkStart w:id="27" w:name="_Toc221813151"/>
      <w:r w:rsidRPr="005F23D7">
        <w:t>Design and Implementation Constraints</w:t>
      </w:r>
      <w:bookmarkEnd w:id="26"/>
      <w:bookmarkEnd w:id="27"/>
    </w:p>
    <w:p w:rsidR="0093213F" w:rsidRPr="0093213F" w:rsidRDefault="0093213F" w:rsidP="0093213F">
      <w:pPr>
        <w:pStyle w:val="ListParagraph"/>
        <w:numPr>
          <w:ilvl w:val="0"/>
          <w:numId w:val="8"/>
        </w:numPr>
      </w:pPr>
      <w:r>
        <w:rPr>
          <w:b/>
        </w:rPr>
        <w:t xml:space="preserve">Regulatory Alignment: </w:t>
      </w:r>
      <w:r>
        <w:t xml:space="preserve">The calculation logic is strictly constrained by </w:t>
      </w:r>
      <w:r>
        <w:rPr>
          <w:b/>
        </w:rPr>
        <w:t>Income Tax Law (GVK) Duplicate Article 80 and 81.</w:t>
      </w:r>
    </w:p>
    <w:p w:rsidR="0093213F" w:rsidRDefault="0093213F" w:rsidP="0093213F">
      <w:pPr>
        <w:pStyle w:val="ListParagraph"/>
        <w:numPr>
          <w:ilvl w:val="0"/>
          <w:numId w:val="8"/>
        </w:numPr>
      </w:pPr>
      <w:r>
        <w:rPr>
          <w:b/>
        </w:rPr>
        <w:t xml:space="preserve">Algorithmic Requirement: </w:t>
      </w:r>
      <w:r>
        <w:t xml:space="preserve">The engine must use </w:t>
      </w:r>
      <w:r>
        <w:rPr>
          <w:b/>
        </w:rPr>
        <w:t xml:space="preserve">FIFO (First-In, First-Out) </w:t>
      </w:r>
      <w:r>
        <w:t>method for matching sell orders with purchase lots.</w:t>
      </w:r>
    </w:p>
    <w:p w:rsidR="00D45CE0" w:rsidRPr="00D45CE0" w:rsidRDefault="00D45CE0" w:rsidP="0093213F">
      <w:pPr>
        <w:pStyle w:val="ListParagraph"/>
        <w:numPr>
          <w:ilvl w:val="0"/>
          <w:numId w:val="8"/>
        </w:numPr>
        <w:rPr>
          <w:b/>
        </w:rPr>
      </w:pPr>
      <w:r w:rsidRPr="00D45CE0">
        <w:rPr>
          <w:b/>
        </w:rPr>
        <w:t>Language &amp; Tools:</w:t>
      </w:r>
      <w:r>
        <w:rPr>
          <w:b/>
        </w:rPr>
        <w:t xml:space="preserve"> </w:t>
      </w:r>
      <w:r>
        <w:t xml:space="preserve">The prototype must be developed in </w:t>
      </w:r>
      <w:r>
        <w:rPr>
          <w:b/>
        </w:rPr>
        <w:t xml:space="preserve">Python </w:t>
      </w:r>
      <w:r>
        <w:t>to ensure rapid iteration and transparency in financial calculations.</w:t>
      </w:r>
    </w:p>
    <w:p w:rsidR="00D379F8" w:rsidRPr="00D379F8" w:rsidRDefault="00D45CE0" w:rsidP="0093213F">
      <w:pPr>
        <w:pStyle w:val="ListParagraph"/>
        <w:numPr>
          <w:ilvl w:val="0"/>
          <w:numId w:val="8"/>
        </w:numPr>
        <w:rPr>
          <w:b/>
        </w:rPr>
      </w:pPr>
      <w:r>
        <w:rPr>
          <w:b/>
        </w:rPr>
        <w:lastRenderedPageBreak/>
        <w:t xml:space="preserve">Data Integrity: </w:t>
      </w:r>
      <w:r>
        <w:t>Since its PoC, the system will prioritize calculation accuracy over UI/UX in the first place.</w:t>
      </w:r>
    </w:p>
    <w:p w:rsidR="0093213F" w:rsidRPr="00D45CE0" w:rsidRDefault="00D379F8" w:rsidP="0093213F">
      <w:pPr>
        <w:pStyle w:val="ListParagraph"/>
        <w:numPr>
          <w:ilvl w:val="0"/>
          <w:numId w:val="8"/>
        </w:numPr>
        <w:rPr>
          <w:b/>
        </w:rPr>
      </w:pPr>
      <w:r>
        <w:rPr>
          <w:b/>
        </w:rPr>
        <w:t xml:space="preserve">Decimal Precision: </w:t>
      </w:r>
      <w:r>
        <w:t>All monetary calculations shall use at least 2 decimal places to comply with tax reporting standarts.</w:t>
      </w:r>
      <w:r w:rsidR="00D45CE0" w:rsidRPr="00D45CE0">
        <w:rPr>
          <w:b/>
        </w:rPr>
        <w:t xml:space="preserve"> </w:t>
      </w:r>
    </w:p>
    <w:p w:rsidR="00310C4B" w:rsidRDefault="00310C4B" w:rsidP="00D45CE0">
      <w:pPr>
        <w:pStyle w:val="Heading2"/>
      </w:pPr>
      <w:bookmarkStart w:id="28" w:name="_Toc439994680"/>
      <w:bookmarkStart w:id="29" w:name="_Toc221813152"/>
      <w:r w:rsidRPr="005F23D7">
        <w:t>Assumptions and Dependencies</w:t>
      </w:r>
      <w:bookmarkEnd w:id="28"/>
      <w:bookmarkEnd w:id="29"/>
    </w:p>
    <w:p w:rsidR="00D45CE0" w:rsidRPr="00D45CE0" w:rsidRDefault="00D45CE0" w:rsidP="00D45CE0">
      <w:pPr>
        <w:pStyle w:val="ListParagraph"/>
        <w:numPr>
          <w:ilvl w:val="0"/>
          <w:numId w:val="9"/>
        </w:numPr>
        <w:rPr>
          <w:b/>
        </w:rPr>
      </w:pPr>
      <w:r>
        <w:rPr>
          <w:b/>
        </w:rPr>
        <w:t xml:space="preserve">Accuracy of Input: </w:t>
      </w:r>
      <w:r>
        <w:t>It is assumed that the transaction history provided by the brokerage firm is complete and follows a consistent format.</w:t>
      </w:r>
    </w:p>
    <w:p w:rsidR="00D45CE0" w:rsidRPr="00D45CE0" w:rsidRDefault="00D45CE0" w:rsidP="00D45CE0">
      <w:pPr>
        <w:pStyle w:val="ListParagraph"/>
        <w:numPr>
          <w:ilvl w:val="0"/>
          <w:numId w:val="9"/>
        </w:numPr>
        <w:rPr>
          <w:b/>
        </w:rPr>
      </w:pPr>
      <w:r>
        <w:rPr>
          <w:b/>
        </w:rPr>
        <w:t xml:space="preserve">Availability of Indices: </w:t>
      </w:r>
      <w:r>
        <w:t>The project depends on the continued availability of monthly Yİ-ÜFE data from TURKSTAT (TÜİK)</w:t>
      </w:r>
    </w:p>
    <w:p w:rsidR="00D45CE0" w:rsidRPr="00D45CE0" w:rsidRDefault="00D45CE0" w:rsidP="00D45CE0">
      <w:pPr>
        <w:pStyle w:val="ListParagraph"/>
        <w:numPr>
          <w:ilvl w:val="0"/>
          <w:numId w:val="9"/>
        </w:numPr>
        <w:rPr>
          <w:b/>
        </w:rPr>
      </w:pPr>
      <w:r>
        <w:rPr>
          <w:b/>
        </w:rPr>
        <w:t xml:space="preserve">Historical Rates: </w:t>
      </w:r>
      <w:r>
        <w:t>It assumed that CBRT(TCMB) historical buying rates are accessible for all transaction dates within the reporting year.</w:t>
      </w:r>
    </w:p>
    <w:p w:rsidR="00310C4B" w:rsidRPr="005F23D7" w:rsidRDefault="00310C4B">
      <w:pPr>
        <w:pStyle w:val="Heading1"/>
      </w:pPr>
      <w:bookmarkStart w:id="30" w:name="_Toc439994687"/>
      <w:bookmarkStart w:id="31" w:name="_Toc221813153"/>
      <w:bookmarkStart w:id="32" w:name="_Toc439994682"/>
      <w:r w:rsidRPr="005F23D7">
        <w:t>System Features</w:t>
      </w:r>
      <w:bookmarkEnd w:id="30"/>
      <w:bookmarkEnd w:id="31"/>
    </w:p>
    <w:p w:rsidR="00310C4B" w:rsidRPr="005F23D7" w:rsidRDefault="0006741A">
      <w:pPr>
        <w:pStyle w:val="Heading2"/>
      </w:pPr>
      <w:bookmarkStart w:id="33" w:name="_Toc221813154"/>
      <w:r>
        <w:t>Transaction Data Ingestion and Normalization</w:t>
      </w:r>
      <w:bookmarkEnd w:id="33"/>
    </w:p>
    <w:p w:rsidR="00310C4B" w:rsidRDefault="00310C4B" w:rsidP="0006741A">
      <w:pPr>
        <w:pStyle w:val="Heading3"/>
      </w:pPr>
      <w:r w:rsidRPr="005F23D7">
        <w:tab/>
      </w:r>
      <w:bookmarkStart w:id="34" w:name="_Toc221813155"/>
      <w:r w:rsidRPr="005F23D7">
        <w:t>Description</w:t>
      </w:r>
      <w:bookmarkEnd w:id="34"/>
    </w:p>
    <w:p w:rsidR="0006741A" w:rsidRPr="0006741A" w:rsidRDefault="0006741A" w:rsidP="0006741A">
      <w:pPr>
        <w:ind w:left="720"/>
      </w:pPr>
      <w:r>
        <w:t xml:space="preserve">The system must be able to import raw transaction history from various brokerage formats (CSV/Excel) and convert them into a standardized data format for processing. This feature is of </w:t>
      </w:r>
      <w:r>
        <w:rPr>
          <w:b/>
        </w:rPr>
        <w:t xml:space="preserve">High </w:t>
      </w:r>
      <w:r>
        <w:t xml:space="preserve">priority. </w:t>
      </w:r>
    </w:p>
    <w:p w:rsidR="00310C4B" w:rsidRDefault="00310C4B" w:rsidP="00BC2175">
      <w:pPr>
        <w:pStyle w:val="Heading3"/>
      </w:pPr>
      <w:r w:rsidRPr="005F23D7">
        <w:tab/>
      </w:r>
      <w:bookmarkStart w:id="35" w:name="_Toc221813156"/>
      <w:r w:rsidRPr="005F23D7">
        <w:t>Stimulus/Response Sequences</w:t>
      </w:r>
      <w:bookmarkEnd w:id="35"/>
    </w:p>
    <w:p w:rsidR="0006741A" w:rsidRDefault="0006741A" w:rsidP="0006741A">
      <w:pPr>
        <w:pStyle w:val="ListParagraph"/>
        <w:numPr>
          <w:ilvl w:val="0"/>
          <w:numId w:val="11"/>
        </w:numPr>
      </w:pPr>
      <w:r>
        <w:rPr>
          <w:b/>
        </w:rPr>
        <w:t xml:space="preserve">Stimulus: </w:t>
      </w:r>
      <w:r>
        <w:t>User provides a CSV/Excel file containing transaction history.</w:t>
      </w:r>
    </w:p>
    <w:p w:rsidR="0006741A" w:rsidRPr="0006741A" w:rsidRDefault="0006741A" w:rsidP="0006741A">
      <w:pPr>
        <w:pStyle w:val="ListParagraph"/>
        <w:numPr>
          <w:ilvl w:val="0"/>
          <w:numId w:val="11"/>
        </w:numPr>
      </w:pPr>
      <w:r>
        <w:rPr>
          <w:b/>
        </w:rPr>
        <w:t>Response:</w:t>
      </w:r>
      <w:r>
        <w:t xml:space="preserve"> System validates the file structure, identifies mandatory fields (Ticker, Date, Quantity, Price), and maps them internal </w:t>
      </w:r>
      <w:r>
        <w:rPr>
          <w:b/>
        </w:rPr>
        <w:t>Trade</w:t>
      </w:r>
      <w:r>
        <w:t xml:space="preserve"> objects.</w:t>
      </w:r>
    </w:p>
    <w:p w:rsidR="0006741A" w:rsidRPr="0006741A" w:rsidRDefault="0006741A" w:rsidP="0006741A">
      <w:pPr>
        <w:ind w:left="720"/>
      </w:pPr>
    </w:p>
    <w:p w:rsidR="00310C4B" w:rsidRDefault="00310C4B" w:rsidP="0006741A">
      <w:pPr>
        <w:pStyle w:val="Heading3"/>
      </w:pPr>
      <w:bookmarkStart w:id="36" w:name="_Toc221813157"/>
      <w:r w:rsidRPr="005F23D7">
        <w:t>Functional Requirements</w:t>
      </w:r>
      <w:bookmarkEnd w:id="36"/>
    </w:p>
    <w:p w:rsidR="0006741A" w:rsidRDefault="0006741A" w:rsidP="0006741A">
      <w:pPr>
        <w:pStyle w:val="ListParagraph"/>
        <w:numPr>
          <w:ilvl w:val="0"/>
          <w:numId w:val="12"/>
        </w:numPr>
      </w:pPr>
      <w:r>
        <w:rPr>
          <w:b/>
        </w:rPr>
        <w:t xml:space="preserve">REQ-1.1: </w:t>
      </w:r>
      <w:r>
        <w:t>The system shall support CSV and Excel file formats for data input.</w:t>
      </w:r>
    </w:p>
    <w:p w:rsidR="0006741A" w:rsidRDefault="0006741A" w:rsidP="0006741A">
      <w:pPr>
        <w:pStyle w:val="ListParagraph"/>
        <w:numPr>
          <w:ilvl w:val="0"/>
          <w:numId w:val="12"/>
        </w:numPr>
      </w:pPr>
      <w:r>
        <w:rPr>
          <w:b/>
        </w:rPr>
        <w:t xml:space="preserve">REQ-1.2: </w:t>
      </w:r>
      <w:r>
        <w:t>The system shall validate that all required transaction fields are present and correctly formatted.</w:t>
      </w:r>
    </w:p>
    <w:p w:rsidR="0006741A" w:rsidRPr="0006741A" w:rsidRDefault="0006741A" w:rsidP="0006741A">
      <w:pPr>
        <w:pStyle w:val="ListParagraph"/>
        <w:numPr>
          <w:ilvl w:val="0"/>
          <w:numId w:val="12"/>
        </w:numPr>
      </w:pPr>
      <w:r>
        <w:rPr>
          <w:b/>
        </w:rPr>
        <w:t xml:space="preserve">REQ-1.3: </w:t>
      </w:r>
      <w:r>
        <w:t>The system shall handle different data formats (e.g., DD/MM/YYYY vs. MM/DD/YYYY) to ensure global compability.</w:t>
      </w:r>
    </w:p>
    <w:p w:rsidR="008D4C24" w:rsidRDefault="008D4C24" w:rsidP="008D4C24">
      <w:pPr>
        <w:pStyle w:val="Heading2"/>
      </w:pPr>
      <w:bookmarkStart w:id="37" w:name="_Toc221813158"/>
      <w:r>
        <w:t>Core Tax Calculation Engine</w:t>
      </w:r>
      <w:bookmarkEnd w:id="37"/>
      <w:r>
        <w:tab/>
      </w:r>
    </w:p>
    <w:p w:rsidR="008D4C24" w:rsidRDefault="008D4C24" w:rsidP="008D4C24">
      <w:pPr>
        <w:pStyle w:val="Heading3"/>
      </w:pPr>
      <w:bookmarkStart w:id="38" w:name="_Toc221813159"/>
      <w:r>
        <w:t>Description</w:t>
      </w:r>
      <w:bookmarkEnd w:id="38"/>
    </w:p>
    <w:p w:rsidR="008D4C24" w:rsidRPr="008D4C24" w:rsidRDefault="008D4C24" w:rsidP="008D4C24">
      <w:pPr>
        <w:ind w:left="720"/>
      </w:pPr>
      <w:r>
        <w:t xml:space="preserve">This is the central logic of the PoC, responsible for applying FIFO matching, currency conversion, and WPI (Yİ-ÜFE) indexing as per Turkish tax law. This feature is </w:t>
      </w:r>
      <w:r>
        <w:rPr>
          <w:b/>
        </w:rPr>
        <w:t xml:space="preserve">Critical </w:t>
      </w:r>
      <w:r>
        <w:t>priority.</w:t>
      </w:r>
    </w:p>
    <w:p w:rsidR="008D4C24" w:rsidRDefault="008D4C24" w:rsidP="008D4C24">
      <w:pPr>
        <w:pStyle w:val="Heading3"/>
      </w:pPr>
      <w:bookmarkStart w:id="39" w:name="_Toc221813160"/>
      <w:r>
        <w:t>Stimulus/Response Sequences</w:t>
      </w:r>
      <w:bookmarkEnd w:id="39"/>
    </w:p>
    <w:p w:rsidR="008D4C24" w:rsidRPr="008D4C24" w:rsidRDefault="008D4C24" w:rsidP="008D4C24">
      <w:pPr>
        <w:pStyle w:val="ListParagraph"/>
        <w:numPr>
          <w:ilvl w:val="0"/>
          <w:numId w:val="13"/>
        </w:numPr>
      </w:pPr>
      <w:r>
        <w:rPr>
          <w:b/>
        </w:rPr>
        <w:t>Stimulus:</w:t>
      </w:r>
      <w:r>
        <w:t xml:space="preserve"> A valid set of normalized transaction data is fed into the engine</w:t>
      </w:r>
    </w:p>
    <w:p w:rsidR="008D4C24" w:rsidRPr="008D4C24" w:rsidRDefault="008D4C24" w:rsidP="008D4C24">
      <w:pPr>
        <w:pStyle w:val="ListParagraph"/>
        <w:numPr>
          <w:ilvl w:val="0"/>
          <w:numId w:val="13"/>
        </w:numPr>
      </w:pPr>
      <w:r>
        <w:rPr>
          <w:b/>
        </w:rPr>
        <w:lastRenderedPageBreak/>
        <w:t xml:space="preserve">Response: </w:t>
      </w:r>
      <w:r>
        <w:t>The system calculates the TL-equivalent cost and proceeds for every transaction, matches sells with purchase lots using FIFO, and applies where WPI (Yİ-ÜFE) increase exceeds 10%</w:t>
      </w:r>
    </w:p>
    <w:p w:rsidR="008D4C24" w:rsidRDefault="008D4C24" w:rsidP="008D4C24">
      <w:pPr>
        <w:pStyle w:val="Heading3"/>
      </w:pPr>
      <w:bookmarkStart w:id="40" w:name="_Toc221813161"/>
      <w:r>
        <w:t>Functional Requirements</w:t>
      </w:r>
      <w:bookmarkEnd w:id="40"/>
    </w:p>
    <w:p w:rsidR="008D4C24" w:rsidRDefault="008D4C24" w:rsidP="008D4C24">
      <w:pPr>
        <w:pStyle w:val="ListParagraph"/>
        <w:numPr>
          <w:ilvl w:val="0"/>
          <w:numId w:val="14"/>
        </w:numPr>
      </w:pPr>
      <w:r>
        <w:rPr>
          <w:b/>
        </w:rPr>
        <w:t xml:space="preserve">REQ-2.1: </w:t>
      </w:r>
      <w:r>
        <w:t xml:space="preserve">The system shall match sell orders with purchase lots using </w:t>
      </w:r>
      <w:r>
        <w:rPr>
          <w:b/>
        </w:rPr>
        <w:t xml:space="preserve">FIFO (First-In, </w:t>
      </w:r>
      <w:r w:rsidR="00D379F8">
        <w:rPr>
          <w:b/>
        </w:rPr>
        <w:t>First</w:t>
      </w:r>
      <w:r>
        <w:rPr>
          <w:b/>
        </w:rPr>
        <w:t xml:space="preserve">-Out) </w:t>
      </w:r>
      <w:r>
        <w:t>method.</w:t>
      </w:r>
    </w:p>
    <w:p w:rsidR="008D4C24" w:rsidRDefault="008D4C24" w:rsidP="008D4C24">
      <w:pPr>
        <w:pStyle w:val="ListParagraph"/>
        <w:numPr>
          <w:ilvl w:val="0"/>
          <w:numId w:val="14"/>
        </w:numPr>
      </w:pPr>
      <w:r>
        <w:rPr>
          <w:b/>
        </w:rPr>
        <w:t xml:space="preserve">REQ-2.2: </w:t>
      </w:r>
      <w:r>
        <w:t xml:space="preserve">For every transaction, the system shall fetch or use the provided </w:t>
      </w:r>
      <w:r>
        <w:rPr>
          <w:b/>
        </w:rPr>
        <w:t xml:space="preserve">CBRT (TCMB) Buying Rate </w:t>
      </w:r>
      <w:r>
        <w:t>for that specific date to convert foreign currency to TL.</w:t>
      </w:r>
    </w:p>
    <w:p w:rsidR="008D4C24" w:rsidRDefault="008D4C24" w:rsidP="008D4C24">
      <w:pPr>
        <w:pStyle w:val="ListParagraph"/>
        <w:numPr>
          <w:ilvl w:val="0"/>
          <w:numId w:val="14"/>
        </w:numPr>
      </w:pPr>
      <w:r>
        <w:rPr>
          <w:b/>
        </w:rPr>
        <w:t xml:space="preserve">REQ-2.3: </w:t>
      </w:r>
      <w:r>
        <w:t>The system shall check the WPİ(Yİ-ÜFE) increase between the month of purchase and the month of preceding sale. If the increase is &gt;= 10%, it shall apply the indexing formula to adjust the cost basis.</w:t>
      </w:r>
    </w:p>
    <w:p w:rsidR="0006741A" w:rsidRPr="00D379F8" w:rsidRDefault="008D4C24" w:rsidP="00D379F8">
      <w:pPr>
        <w:pStyle w:val="ListParagraph"/>
        <w:numPr>
          <w:ilvl w:val="0"/>
          <w:numId w:val="14"/>
        </w:numPr>
      </w:pPr>
      <w:r>
        <w:rPr>
          <w:b/>
        </w:rPr>
        <w:t>REQ-2.4:</w:t>
      </w:r>
      <w:r w:rsidR="00086D11">
        <w:rPr>
          <w:b/>
        </w:rPr>
        <w:t xml:space="preserve"> </w:t>
      </w:r>
      <w:r>
        <w:t>Th</w:t>
      </w:r>
      <w:r w:rsidR="00D379F8">
        <w:t>e system shall calculate the ne</w:t>
      </w:r>
      <w:r>
        <w:t>t</w:t>
      </w:r>
      <w:r w:rsidR="00086D11">
        <w:t xml:space="preserve"> taxable gain or loss for the entire fiscal year.</w:t>
      </w:r>
    </w:p>
    <w:p w:rsidR="00310C4B" w:rsidRDefault="00086D11">
      <w:pPr>
        <w:pStyle w:val="Heading2"/>
      </w:pPr>
      <w:bookmarkStart w:id="41" w:name="_Toc221813162"/>
      <w:r>
        <w:t>Annual Tax Summary and Reporting</w:t>
      </w:r>
      <w:bookmarkEnd w:id="41"/>
    </w:p>
    <w:p w:rsidR="00086D11" w:rsidRDefault="00086D11" w:rsidP="00086D11">
      <w:pPr>
        <w:pStyle w:val="Heading3"/>
      </w:pPr>
      <w:bookmarkStart w:id="42" w:name="_Toc221813163"/>
      <w:r>
        <w:t>Description</w:t>
      </w:r>
      <w:bookmarkEnd w:id="42"/>
    </w:p>
    <w:p w:rsidR="00086D11" w:rsidRPr="00086D11" w:rsidRDefault="00086D11" w:rsidP="00086D11">
      <w:pPr>
        <w:ind w:left="720"/>
      </w:pPr>
      <w:r>
        <w:t xml:space="preserve">The system generates a comprehensive summary report that outlines the calculated tax base and estimated tax liability for the user’s annual declaration. This feature is of </w:t>
      </w:r>
      <w:r>
        <w:rPr>
          <w:b/>
        </w:rPr>
        <w:t xml:space="preserve">High </w:t>
      </w:r>
      <w:r>
        <w:t>priority.</w:t>
      </w:r>
    </w:p>
    <w:p w:rsidR="00086D11" w:rsidRDefault="00086D11" w:rsidP="00086D11">
      <w:pPr>
        <w:pStyle w:val="Heading3"/>
      </w:pPr>
      <w:bookmarkStart w:id="43" w:name="_Toc221813164"/>
      <w:r>
        <w:t>Stimulus/Response Sequences</w:t>
      </w:r>
      <w:bookmarkEnd w:id="43"/>
    </w:p>
    <w:p w:rsidR="00086D11" w:rsidRPr="00086D11" w:rsidRDefault="00086D11" w:rsidP="00086D11">
      <w:pPr>
        <w:pStyle w:val="ListParagraph"/>
        <w:numPr>
          <w:ilvl w:val="0"/>
          <w:numId w:val="15"/>
        </w:numPr>
      </w:pPr>
      <w:r>
        <w:rPr>
          <w:b/>
        </w:rPr>
        <w:t>Stimulus:</w:t>
      </w:r>
      <w:r>
        <w:t xml:space="preserve"> User requests a summary report after calculations are complete.</w:t>
      </w:r>
    </w:p>
    <w:p w:rsidR="00086D11" w:rsidRPr="00086D11" w:rsidRDefault="00086D11" w:rsidP="00086D11">
      <w:pPr>
        <w:pStyle w:val="ListParagraph"/>
        <w:numPr>
          <w:ilvl w:val="0"/>
          <w:numId w:val="15"/>
        </w:numPr>
      </w:pPr>
      <w:r>
        <w:rPr>
          <w:b/>
        </w:rPr>
        <w:t xml:space="preserve">Response: </w:t>
      </w:r>
      <w:r>
        <w:t>The system produces a detailed report (CLI output, Excel or PDF) showing total gains, losses and the final estimated tax based on current brackets.</w:t>
      </w:r>
    </w:p>
    <w:p w:rsidR="00086D11" w:rsidRDefault="00086D11" w:rsidP="00086D11">
      <w:pPr>
        <w:pStyle w:val="Heading3"/>
      </w:pPr>
      <w:bookmarkStart w:id="44" w:name="_Toc221813165"/>
      <w:r>
        <w:t>Functional Requirements</w:t>
      </w:r>
      <w:bookmarkEnd w:id="44"/>
    </w:p>
    <w:p w:rsidR="00086D11" w:rsidRPr="00086D11" w:rsidRDefault="00086D11" w:rsidP="00086D11">
      <w:pPr>
        <w:pStyle w:val="ListParagraph"/>
        <w:numPr>
          <w:ilvl w:val="0"/>
          <w:numId w:val="16"/>
        </w:numPr>
      </w:pPr>
      <w:r>
        <w:rPr>
          <w:b/>
        </w:rPr>
        <w:t xml:space="preserve">REQ-3.1: </w:t>
      </w:r>
      <w:r>
        <w:t>The system shall produce an annual summary including “Total Gain”, “Total Loss” and “Next Taxable Base”</w:t>
      </w:r>
    </w:p>
    <w:p w:rsidR="00086D11" w:rsidRPr="00086D11" w:rsidRDefault="00086D11" w:rsidP="00086D11">
      <w:pPr>
        <w:pStyle w:val="ListParagraph"/>
        <w:numPr>
          <w:ilvl w:val="0"/>
          <w:numId w:val="16"/>
        </w:numPr>
      </w:pPr>
      <w:r>
        <w:rPr>
          <w:b/>
        </w:rPr>
        <w:t xml:space="preserve">REQ-3.2: </w:t>
      </w:r>
      <w:r>
        <w:t>The system shall provide a detailed transaction-level breakdown (Lot Matching Table) for audit purposes.</w:t>
      </w:r>
    </w:p>
    <w:p w:rsidR="00086D11" w:rsidRPr="00086D11" w:rsidRDefault="00086D11" w:rsidP="00086D11">
      <w:pPr>
        <w:pStyle w:val="ListParagraph"/>
        <w:numPr>
          <w:ilvl w:val="0"/>
          <w:numId w:val="16"/>
        </w:numPr>
      </w:pPr>
      <w:r>
        <w:rPr>
          <w:b/>
        </w:rPr>
        <w:t xml:space="preserve">REQ-3.3: </w:t>
      </w:r>
      <w:r>
        <w:t xml:space="preserve">The system shall apply the relevant </w:t>
      </w:r>
      <w:r>
        <w:rPr>
          <w:b/>
        </w:rPr>
        <w:t xml:space="preserve">Income Tax Brackets </w:t>
      </w:r>
      <w:r>
        <w:t xml:space="preserve">for the selected fiscal year to estimate the total tax payable. </w:t>
      </w:r>
    </w:p>
    <w:p w:rsidR="00052274" w:rsidRDefault="00052274" w:rsidP="00052274">
      <w:pPr>
        <w:pStyle w:val="Heading1"/>
      </w:pPr>
      <w:bookmarkStart w:id="45" w:name="_Toc221813166"/>
      <w:r w:rsidRPr="005F23D7">
        <w:t>Data Requirements</w:t>
      </w:r>
      <w:bookmarkEnd w:id="45"/>
      <w:r>
        <w:t xml:space="preserve"> </w:t>
      </w:r>
    </w:p>
    <w:p w:rsidR="00ED0EFE" w:rsidRPr="00ED0EFE" w:rsidRDefault="00ED0EFE" w:rsidP="00ED0EFE">
      <w:r>
        <w:t xml:space="preserve">This section </w:t>
      </w:r>
      <w:r w:rsidR="00C253A9" w:rsidRPr="00C253A9">
        <w:t>defines the data structures the system will consume, process, and generate to ensure accurate tax calculations in compliance with Turkish regulations.</w:t>
      </w:r>
    </w:p>
    <w:p w:rsidR="00052274" w:rsidRDefault="00052274" w:rsidP="00052274">
      <w:pPr>
        <w:pStyle w:val="Heading2"/>
      </w:pPr>
      <w:bookmarkStart w:id="46" w:name="_Toc221813167"/>
      <w:r w:rsidRPr="005F23D7">
        <w:t>Logical Data Model</w:t>
      </w:r>
      <w:bookmarkEnd w:id="46"/>
    </w:p>
    <w:p w:rsidR="00C253A9" w:rsidRDefault="00C253A9" w:rsidP="00C253A9">
      <w:r w:rsidRPr="00C253A9">
        <w:t>The TaxEngine operates on a structured logic where raw transaction data is transformed into matched lots and realized gain records. The relationships between the core entities—</w:t>
      </w:r>
      <w:r w:rsidRPr="00C253A9">
        <w:rPr>
          <w:b/>
        </w:rPr>
        <w:t>User</w:t>
      </w:r>
      <w:r w:rsidRPr="00C253A9">
        <w:t xml:space="preserve">, </w:t>
      </w:r>
      <w:r w:rsidRPr="00C253A9">
        <w:rPr>
          <w:b/>
        </w:rPr>
        <w:t>Trade</w:t>
      </w:r>
      <w:r w:rsidRPr="00C253A9">
        <w:t xml:space="preserve">, </w:t>
      </w:r>
      <w:r w:rsidRPr="00C253A9">
        <w:rPr>
          <w:b/>
        </w:rPr>
        <w:t>FifoLot,</w:t>
      </w:r>
      <w:r w:rsidRPr="00C253A9">
        <w:t xml:space="preserve"> </w:t>
      </w:r>
      <w:r w:rsidRPr="00C253A9">
        <w:rPr>
          <w:b/>
        </w:rPr>
        <w:t>GainRecord</w:t>
      </w:r>
      <w:r w:rsidRPr="00C253A9">
        <w:t xml:space="preserve">, and </w:t>
      </w:r>
      <w:r w:rsidRPr="00C253A9">
        <w:rPr>
          <w:b/>
        </w:rPr>
        <w:t>ReferenceData</w:t>
      </w:r>
      <w:r w:rsidRPr="00C253A9">
        <w:t>—are visualized in the diagram below.</w:t>
      </w:r>
    </w:p>
    <w:p w:rsidR="00C253A9" w:rsidRDefault="00C253A9" w:rsidP="00C253A9"/>
    <w:p w:rsidR="00C253A9" w:rsidRDefault="00C253A9" w:rsidP="00C253A9"/>
    <w:p w:rsidR="00C253A9" w:rsidRDefault="00C253A9" w:rsidP="00C253A9"/>
    <w:p w:rsidR="00C253A9" w:rsidRDefault="00C253A9" w:rsidP="00C253A9">
      <w:r>
        <w:rPr>
          <w:noProof/>
        </w:rPr>
        <w:lastRenderedPageBreak/>
        <w:drawing>
          <wp:anchor distT="0" distB="0" distL="114300" distR="114300" simplePos="0" relativeHeight="251658240" behindDoc="0" locked="0" layoutInCell="1" allowOverlap="1" wp14:anchorId="776013AD" wp14:editId="3BDFDA3B">
            <wp:simplePos x="0" y="0"/>
            <wp:positionH relativeFrom="column">
              <wp:posOffset>-868680</wp:posOffset>
            </wp:positionH>
            <wp:positionV relativeFrom="paragraph">
              <wp:posOffset>-99060</wp:posOffset>
            </wp:positionV>
            <wp:extent cx="7734300" cy="5088862"/>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_TaxEngin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34300" cy="5088862"/>
                    </a:xfrm>
                    <a:prstGeom prst="rect">
                      <a:avLst/>
                    </a:prstGeom>
                  </pic:spPr>
                </pic:pic>
              </a:graphicData>
            </a:graphic>
            <wp14:sizeRelH relativeFrom="margin">
              <wp14:pctWidth>0</wp14:pctWidth>
            </wp14:sizeRelH>
            <wp14:sizeRelV relativeFrom="margin">
              <wp14:pctHeight>0</wp14:pctHeight>
            </wp14:sizeRelV>
          </wp:anchor>
        </w:drawing>
      </w:r>
    </w:p>
    <w:p w:rsidR="00C253A9" w:rsidRDefault="00C253A9" w:rsidP="00C253A9"/>
    <w:p w:rsidR="00C253A9" w:rsidRPr="00C253A9" w:rsidRDefault="00C253A9" w:rsidP="00C253A9">
      <w:r>
        <w:t>The model ensures that every sell transaction is strictly tied to a specific purchase lot (FIFO) and validated against historical CBRT (TCMB)</w:t>
      </w:r>
      <w:r w:rsidR="00B738D9">
        <w:t xml:space="preserve"> and TURKSTAT (TÜİK) data.</w:t>
      </w:r>
    </w:p>
    <w:p w:rsidR="00B738D9" w:rsidRDefault="00052274" w:rsidP="00052274">
      <w:pPr>
        <w:pStyle w:val="Heading2"/>
      </w:pPr>
      <w:bookmarkStart w:id="47" w:name="_Toc221813168"/>
      <w:r w:rsidRPr="005F23D7">
        <w:lastRenderedPageBreak/>
        <w:t>Data Dictionary</w:t>
      </w:r>
      <w:bookmarkEnd w:id="47"/>
    </w:p>
    <w:tbl>
      <w:tblPr>
        <w:tblStyle w:val="PlainTable1"/>
        <w:tblW w:w="0" w:type="auto"/>
        <w:tblLook w:val="04A0" w:firstRow="1" w:lastRow="0" w:firstColumn="1" w:lastColumn="0" w:noHBand="0" w:noVBand="1"/>
      </w:tblPr>
      <w:tblGrid>
        <w:gridCol w:w="2223"/>
        <w:gridCol w:w="1755"/>
        <w:gridCol w:w="5886"/>
      </w:tblGrid>
      <w:tr w:rsidR="00B738D9" w:rsidTr="00B738D9">
        <w:trPr>
          <w:cnfStyle w:val="100000000000" w:firstRow="1" w:lastRow="0" w:firstColumn="0" w:lastColumn="0" w:oddVBand="0" w:evenVBand="0" w:oddHBand="0" w:evenHBand="0" w:firstRowFirstColumn="0" w:firstRowLastColumn="0" w:lastRowFirstColumn="0" w:lastRowLastColumn="0"/>
          <w:trHeight w:hRule="exact" w:val="667"/>
        </w:trPr>
        <w:tc>
          <w:tcPr>
            <w:cnfStyle w:val="001000000000" w:firstRow="0" w:lastRow="0" w:firstColumn="1" w:lastColumn="0" w:oddVBand="0" w:evenVBand="0" w:oddHBand="0" w:evenHBand="0" w:firstRowFirstColumn="0" w:firstRowLastColumn="0" w:lastRowFirstColumn="0" w:lastRowLastColumn="0"/>
            <w:tcW w:w="2223" w:type="dxa"/>
          </w:tcPr>
          <w:p w:rsidR="00B738D9" w:rsidRPr="00B738D9" w:rsidRDefault="00B738D9" w:rsidP="00B738D9">
            <w:pPr>
              <w:pStyle w:val="Heading2"/>
              <w:numPr>
                <w:ilvl w:val="0"/>
                <w:numId w:val="0"/>
              </w:numPr>
              <w:jc w:val="center"/>
              <w:outlineLvl w:val="1"/>
              <w:rPr>
                <w:b/>
              </w:rPr>
            </w:pPr>
            <w:r w:rsidRPr="00B738D9">
              <w:rPr>
                <w:b/>
              </w:rPr>
              <w:t>Data Element</w:t>
            </w:r>
          </w:p>
        </w:tc>
        <w:tc>
          <w:tcPr>
            <w:tcW w:w="1755" w:type="dxa"/>
          </w:tcPr>
          <w:p w:rsidR="00B738D9" w:rsidRPr="00B738D9" w:rsidRDefault="00B738D9" w:rsidP="00B738D9">
            <w:pPr>
              <w:pStyle w:val="Heading2"/>
              <w:numPr>
                <w:ilvl w:val="0"/>
                <w:numId w:val="0"/>
              </w:numPr>
              <w:jc w:val="center"/>
              <w:outlineLvl w:val="1"/>
              <w:cnfStyle w:val="100000000000" w:firstRow="1" w:lastRow="0" w:firstColumn="0" w:lastColumn="0" w:oddVBand="0" w:evenVBand="0" w:oddHBand="0" w:evenHBand="0" w:firstRowFirstColumn="0" w:firstRowLastColumn="0" w:lastRowFirstColumn="0" w:lastRowLastColumn="0"/>
              <w:rPr>
                <w:b/>
              </w:rPr>
            </w:pPr>
            <w:r w:rsidRPr="00B738D9">
              <w:rPr>
                <w:b/>
              </w:rPr>
              <w:t>Data Type</w:t>
            </w:r>
          </w:p>
        </w:tc>
        <w:tc>
          <w:tcPr>
            <w:tcW w:w="5886" w:type="dxa"/>
          </w:tcPr>
          <w:p w:rsidR="00B738D9" w:rsidRPr="00B738D9" w:rsidRDefault="00B738D9" w:rsidP="00B738D9">
            <w:pPr>
              <w:pStyle w:val="Heading2"/>
              <w:numPr>
                <w:ilvl w:val="0"/>
                <w:numId w:val="0"/>
              </w:numPr>
              <w:jc w:val="center"/>
              <w:outlineLvl w:val="1"/>
              <w:cnfStyle w:val="100000000000" w:firstRow="1" w:lastRow="0" w:firstColumn="0" w:lastColumn="0" w:oddVBand="0" w:evenVBand="0" w:oddHBand="0" w:evenHBand="0" w:firstRowFirstColumn="0" w:firstRowLastColumn="0" w:lastRowFirstColumn="0" w:lastRowLastColumn="0"/>
              <w:rPr>
                <w:b/>
              </w:rPr>
            </w:pPr>
            <w:r w:rsidRPr="00B738D9">
              <w:rPr>
                <w:b/>
              </w:rPr>
              <w:t>Description</w:t>
            </w:r>
          </w:p>
        </w:tc>
      </w:tr>
      <w:tr w:rsidR="00B738D9" w:rsidTr="00B738D9">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223" w:type="dxa"/>
          </w:tcPr>
          <w:p w:rsidR="00B738D9" w:rsidRPr="00B738D9" w:rsidRDefault="00B738D9" w:rsidP="00B738D9">
            <w:pPr>
              <w:pStyle w:val="Heading2"/>
              <w:numPr>
                <w:ilvl w:val="0"/>
                <w:numId w:val="0"/>
              </w:numPr>
              <w:jc w:val="center"/>
              <w:outlineLvl w:val="1"/>
              <w:rPr>
                <w:sz w:val="24"/>
                <w:szCs w:val="24"/>
              </w:rPr>
            </w:pPr>
            <w:r w:rsidRPr="00B738D9">
              <w:rPr>
                <w:sz w:val="24"/>
                <w:szCs w:val="24"/>
              </w:rPr>
              <w:t>trade_id</w:t>
            </w:r>
          </w:p>
        </w:tc>
        <w:tc>
          <w:tcPr>
            <w:tcW w:w="1755" w:type="dxa"/>
          </w:tcPr>
          <w:p w:rsidR="00B738D9" w:rsidRPr="00B738D9" w:rsidRDefault="00B738D9" w:rsidP="00B738D9">
            <w:pPr>
              <w:pStyle w:val="Heading2"/>
              <w:numPr>
                <w:ilvl w:val="0"/>
                <w:numId w:val="0"/>
              </w:numPr>
              <w:jc w:val="center"/>
              <w:outlineLvl w:val="1"/>
              <w:cnfStyle w:val="000000100000" w:firstRow="0" w:lastRow="0" w:firstColumn="0" w:lastColumn="0" w:oddVBand="0" w:evenVBand="0" w:oddHBand="1" w:evenHBand="0" w:firstRowFirstColumn="0" w:firstRowLastColumn="0" w:lastRowFirstColumn="0" w:lastRowLastColumn="0"/>
              <w:rPr>
                <w:b w:val="0"/>
                <w:sz w:val="24"/>
                <w:szCs w:val="24"/>
              </w:rPr>
            </w:pPr>
            <w:r w:rsidRPr="00B738D9">
              <w:rPr>
                <w:b w:val="0"/>
                <w:sz w:val="24"/>
                <w:szCs w:val="24"/>
              </w:rPr>
              <w:t>Integer</w:t>
            </w:r>
          </w:p>
        </w:tc>
        <w:tc>
          <w:tcPr>
            <w:tcW w:w="5886" w:type="dxa"/>
          </w:tcPr>
          <w:p w:rsidR="00B738D9" w:rsidRPr="00B738D9" w:rsidRDefault="00B738D9" w:rsidP="00B738D9">
            <w:pPr>
              <w:pStyle w:val="Heading2"/>
              <w:numPr>
                <w:ilvl w:val="0"/>
                <w:numId w:val="0"/>
              </w:numPr>
              <w:outlineLvl w:val="1"/>
              <w:cnfStyle w:val="000000100000" w:firstRow="0" w:lastRow="0" w:firstColumn="0" w:lastColumn="0" w:oddVBand="0" w:evenVBand="0" w:oddHBand="1" w:evenHBand="0" w:firstRowFirstColumn="0" w:firstRowLastColumn="0" w:lastRowFirstColumn="0" w:lastRowLastColumn="0"/>
              <w:rPr>
                <w:b w:val="0"/>
                <w:sz w:val="24"/>
                <w:szCs w:val="24"/>
              </w:rPr>
            </w:pPr>
            <w:r w:rsidRPr="00B738D9">
              <w:rPr>
                <w:b w:val="0"/>
                <w:sz w:val="24"/>
                <w:szCs w:val="24"/>
              </w:rPr>
              <w:t>A unique identifier for each imported transaction</w:t>
            </w:r>
          </w:p>
        </w:tc>
      </w:tr>
      <w:tr w:rsidR="00B738D9" w:rsidTr="00B738D9">
        <w:tc>
          <w:tcPr>
            <w:cnfStyle w:val="001000000000" w:firstRow="0" w:lastRow="0" w:firstColumn="1" w:lastColumn="0" w:oddVBand="0" w:evenVBand="0" w:oddHBand="0" w:evenHBand="0" w:firstRowFirstColumn="0" w:firstRowLastColumn="0" w:lastRowFirstColumn="0" w:lastRowLastColumn="0"/>
            <w:tcW w:w="2223" w:type="dxa"/>
          </w:tcPr>
          <w:p w:rsidR="00B738D9" w:rsidRPr="00B738D9" w:rsidRDefault="00B738D9" w:rsidP="00B738D9">
            <w:pPr>
              <w:pStyle w:val="Heading2"/>
              <w:numPr>
                <w:ilvl w:val="0"/>
                <w:numId w:val="0"/>
              </w:numPr>
              <w:jc w:val="center"/>
              <w:outlineLvl w:val="1"/>
              <w:rPr>
                <w:sz w:val="24"/>
                <w:szCs w:val="24"/>
              </w:rPr>
            </w:pPr>
            <w:r w:rsidRPr="00B738D9">
              <w:rPr>
                <w:sz w:val="24"/>
                <w:szCs w:val="24"/>
              </w:rPr>
              <w:t>transaction_date</w:t>
            </w:r>
          </w:p>
        </w:tc>
        <w:tc>
          <w:tcPr>
            <w:tcW w:w="1755" w:type="dxa"/>
          </w:tcPr>
          <w:p w:rsidR="00B738D9" w:rsidRPr="00B738D9" w:rsidRDefault="00B738D9" w:rsidP="00B738D9">
            <w:pPr>
              <w:pStyle w:val="Heading2"/>
              <w:numPr>
                <w:ilvl w:val="0"/>
                <w:numId w:val="0"/>
              </w:numPr>
              <w:jc w:val="center"/>
              <w:outlineLvl w:val="1"/>
              <w:cnfStyle w:val="000000000000" w:firstRow="0" w:lastRow="0" w:firstColumn="0" w:lastColumn="0" w:oddVBand="0" w:evenVBand="0" w:oddHBand="0" w:evenHBand="0" w:firstRowFirstColumn="0" w:firstRowLastColumn="0" w:lastRowFirstColumn="0" w:lastRowLastColumn="0"/>
              <w:rPr>
                <w:b w:val="0"/>
                <w:sz w:val="24"/>
                <w:szCs w:val="24"/>
              </w:rPr>
            </w:pPr>
            <w:r w:rsidRPr="00B738D9">
              <w:rPr>
                <w:b w:val="0"/>
                <w:sz w:val="24"/>
                <w:szCs w:val="24"/>
              </w:rPr>
              <w:t>Date</w:t>
            </w:r>
          </w:p>
        </w:tc>
        <w:tc>
          <w:tcPr>
            <w:tcW w:w="5886" w:type="dxa"/>
          </w:tcPr>
          <w:p w:rsidR="00B738D9" w:rsidRPr="00B738D9" w:rsidRDefault="00B738D9" w:rsidP="00B738D9">
            <w:pPr>
              <w:pStyle w:val="Heading2"/>
              <w:numPr>
                <w:ilvl w:val="0"/>
                <w:numId w:val="0"/>
              </w:numPr>
              <w:outlineLvl w:val="1"/>
              <w:cnfStyle w:val="000000000000" w:firstRow="0" w:lastRow="0" w:firstColumn="0" w:lastColumn="0" w:oddVBand="0" w:evenVBand="0" w:oddHBand="0" w:evenHBand="0" w:firstRowFirstColumn="0" w:firstRowLastColumn="0" w:lastRowFirstColumn="0" w:lastRowLastColumn="0"/>
              <w:rPr>
                <w:b w:val="0"/>
                <w:sz w:val="24"/>
                <w:szCs w:val="24"/>
              </w:rPr>
            </w:pPr>
            <w:r w:rsidRPr="00B738D9">
              <w:rPr>
                <w:b w:val="0"/>
                <w:sz w:val="24"/>
                <w:szCs w:val="24"/>
              </w:rPr>
              <w:t>The exact day of the trade, used for fetching daily exchange rates</w:t>
            </w:r>
          </w:p>
        </w:tc>
      </w:tr>
      <w:tr w:rsidR="00B738D9" w:rsidTr="00B73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tcPr>
          <w:p w:rsidR="00B738D9" w:rsidRPr="00B738D9" w:rsidRDefault="00B738D9" w:rsidP="00B738D9">
            <w:pPr>
              <w:pStyle w:val="Heading2"/>
              <w:numPr>
                <w:ilvl w:val="0"/>
                <w:numId w:val="0"/>
              </w:numPr>
              <w:jc w:val="center"/>
              <w:outlineLvl w:val="1"/>
              <w:rPr>
                <w:sz w:val="24"/>
                <w:szCs w:val="24"/>
              </w:rPr>
            </w:pPr>
            <w:r w:rsidRPr="00B738D9">
              <w:rPr>
                <w:sz w:val="24"/>
                <w:szCs w:val="24"/>
              </w:rPr>
              <w:t>unit_price_fc</w:t>
            </w:r>
          </w:p>
        </w:tc>
        <w:tc>
          <w:tcPr>
            <w:tcW w:w="1755" w:type="dxa"/>
          </w:tcPr>
          <w:p w:rsidR="00B738D9" w:rsidRPr="00B738D9" w:rsidRDefault="00B738D9" w:rsidP="00B738D9">
            <w:pPr>
              <w:pStyle w:val="Heading2"/>
              <w:numPr>
                <w:ilvl w:val="0"/>
                <w:numId w:val="0"/>
              </w:numPr>
              <w:jc w:val="center"/>
              <w:outlineLvl w:val="1"/>
              <w:cnfStyle w:val="000000100000" w:firstRow="0" w:lastRow="0" w:firstColumn="0" w:lastColumn="0" w:oddVBand="0" w:evenVBand="0" w:oddHBand="1" w:evenHBand="0" w:firstRowFirstColumn="0" w:firstRowLastColumn="0" w:lastRowFirstColumn="0" w:lastRowLastColumn="0"/>
              <w:rPr>
                <w:b w:val="0"/>
                <w:sz w:val="24"/>
                <w:szCs w:val="24"/>
              </w:rPr>
            </w:pPr>
            <w:r w:rsidRPr="00B738D9">
              <w:rPr>
                <w:b w:val="0"/>
                <w:sz w:val="24"/>
                <w:szCs w:val="24"/>
              </w:rPr>
              <w:t>Decimal</w:t>
            </w:r>
          </w:p>
        </w:tc>
        <w:tc>
          <w:tcPr>
            <w:tcW w:w="5886" w:type="dxa"/>
          </w:tcPr>
          <w:p w:rsidR="00B738D9" w:rsidRPr="00B738D9" w:rsidRDefault="00B738D9" w:rsidP="00B738D9">
            <w:pPr>
              <w:pStyle w:val="Heading2"/>
              <w:numPr>
                <w:ilvl w:val="0"/>
                <w:numId w:val="0"/>
              </w:numPr>
              <w:outlineLvl w:val="1"/>
              <w:cnfStyle w:val="000000100000" w:firstRow="0" w:lastRow="0" w:firstColumn="0" w:lastColumn="0" w:oddVBand="0" w:evenVBand="0" w:oddHBand="1" w:evenHBand="0" w:firstRowFirstColumn="0" w:firstRowLastColumn="0" w:lastRowFirstColumn="0" w:lastRowLastColumn="0"/>
              <w:rPr>
                <w:b w:val="0"/>
                <w:sz w:val="24"/>
                <w:szCs w:val="24"/>
              </w:rPr>
            </w:pPr>
            <w:r w:rsidRPr="00B738D9">
              <w:rPr>
                <w:b w:val="0"/>
                <w:sz w:val="24"/>
                <w:szCs w:val="24"/>
              </w:rPr>
              <w:t>Share price in foreign currency at the time of the trade date</w:t>
            </w:r>
          </w:p>
        </w:tc>
      </w:tr>
      <w:tr w:rsidR="00B738D9" w:rsidTr="00B738D9">
        <w:trPr>
          <w:trHeight w:val="944"/>
        </w:trPr>
        <w:tc>
          <w:tcPr>
            <w:cnfStyle w:val="001000000000" w:firstRow="0" w:lastRow="0" w:firstColumn="1" w:lastColumn="0" w:oddVBand="0" w:evenVBand="0" w:oddHBand="0" w:evenHBand="0" w:firstRowFirstColumn="0" w:firstRowLastColumn="0" w:lastRowFirstColumn="0" w:lastRowLastColumn="0"/>
            <w:tcW w:w="2223" w:type="dxa"/>
          </w:tcPr>
          <w:p w:rsidR="00B738D9" w:rsidRPr="00B738D9" w:rsidRDefault="00B738D9" w:rsidP="00B738D9">
            <w:pPr>
              <w:pStyle w:val="Heading2"/>
              <w:numPr>
                <w:ilvl w:val="0"/>
                <w:numId w:val="0"/>
              </w:numPr>
              <w:jc w:val="center"/>
              <w:outlineLvl w:val="1"/>
              <w:rPr>
                <w:sz w:val="24"/>
                <w:szCs w:val="24"/>
              </w:rPr>
            </w:pPr>
            <w:r w:rsidRPr="00B738D9">
              <w:rPr>
                <w:sz w:val="24"/>
                <w:szCs w:val="24"/>
              </w:rPr>
              <w:t>exchange_rate</w:t>
            </w:r>
          </w:p>
        </w:tc>
        <w:tc>
          <w:tcPr>
            <w:tcW w:w="1755" w:type="dxa"/>
          </w:tcPr>
          <w:p w:rsidR="00B738D9" w:rsidRPr="00B738D9" w:rsidRDefault="00B738D9" w:rsidP="00B738D9">
            <w:pPr>
              <w:pStyle w:val="Heading2"/>
              <w:numPr>
                <w:ilvl w:val="0"/>
                <w:numId w:val="0"/>
              </w:numPr>
              <w:jc w:val="center"/>
              <w:outlineLvl w:val="1"/>
              <w:cnfStyle w:val="000000000000" w:firstRow="0" w:lastRow="0" w:firstColumn="0" w:lastColumn="0" w:oddVBand="0" w:evenVBand="0" w:oddHBand="0" w:evenHBand="0" w:firstRowFirstColumn="0" w:firstRowLastColumn="0" w:lastRowFirstColumn="0" w:lastRowLastColumn="0"/>
              <w:rPr>
                <w:b w:val="0"/>
                <w:sz w:val="24"/>
                <w:szCs w:val="24"/>
              </w:rPr>
            </w:pPr>
            <w:r w:rsidRPr="00B738D9">
              <w:rPr>
                <w:b w:val="0"/>
                <w:sz w:val="24"/>
                <w:szCs w:val="24"/>
              </w:rPr>
              <w:t>Decimal</w:t>
            </w:r>
          </w:p>
        </w:tc>
        <w:tc>
          <w:tcPr>
            <w:tcW w:w="5886" w:type="dxa"/>
          </w:tcPr>
          <w:p w:rsidR="00B738D9" w:rsidRPr="00B738D9" w:rsidRDefault="00B738D9" w:rsidP="00B738D9">
            <w:pPr>
              <w:pStyle w:val="Heading2"/>
              <w:numPr>
                <w:ilvl w:val="0"/>
                <w:numId w:val="0"/>
              </w:numPr>
              <w:outlineLvl w:val="1"/>
              <w:cnfStyle w:val="000000000000" w:firstRow="0" w:lastRow="0" w:firstColumn="0" w:lastColumn="0" w:oddVBand="0" w:evenVBand="0" w:oddHBand="0" w:evenHBand="0" w:firstRowFirstColumn="0" w:firstRowLastColumn="0" w:lastRowFirstColumn="0" w:lastRowLastColumn="0"/>
              <w:rPr>
                <w:b w:val="0"/>
                <w:sz w:val="24"/>
                <w:szCs w:val="24"/>
              </w:rPr>
            </w:pPr>
            <w:r w:rsidRPr="00B738D9">
              <w:rPr>
                <w:b w:val="0"/>
                <w:sz w:val="24"/>
                <w:szCs w:val="24"/>
              </w:rPr>
              <w:t xml:space="preserve">The </w:t>
            </w:r>
            <w:r w:rsidRPr="00B738D9">
              <w:rPr>
                <w:sz w:val="24"/>
                <w:szCs w:val="24"/>
              </w:rPr>
              <w:t>CBRT(TCMB)</w:t>
            </w:r>
            <w:r w:rsidRPr="00B738D9">
              <w:rPr>
                <w:b w:val="0"/>
                <w:sz w:val="24"/>
                <w:szCs w:val="24"/>
              </w:rPr>
              <w:t xml:space="preserve"> Foreign Exchange Buying Rate applicable on the trade date.</w:t>
            </w:r>
          </w:p>
        </w:tc>
      </w:tr>
      <w:tr w:rsidR="00B738D9" w:rsidTr="00B738D9">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2223" w:type="dxa"/>
          </w:tcPr>
          <w:p w:rsidR="00B738D9" w:rsidRPr="00B738D9" w:rsidRDefault="00B738D9" w:rsidP="00B738D9">
            <w:pPr>
              <w:pStyle w:val="Heading2"/>
              <w:numPr>
                <w:ilvl w:val="0"/>
                <w:numId w:val="0"/>
              </w:numPr>
              <w:jc w:val="center"/>
              <w:outlineLvl w:val="1"/>
              <w:rPr>
                <w:sz w:val="24"/>
                <w:szCs w:val="24"/>
              </w:rPr>
            </w:pPr>
            <w:r w:rsidRPr="00B738D9">
              <w:rPr>
                <w:sz w:val="24"/>
                <w:szCs w:val="24"/>
              </w:rPr>
              <w:t>index_facto</w:t>
            </w:r>
          </w:p>
        </w:tc>
        <w:tc>
          <w:tcPr>
            <w:tcW w:w="1755" w:type="dxa"/>
          </w:tcPr>
          <w:p w:rsidR="00B738D9" w:rsidRPr="00B738D9" w:rsidRDefault="00B738D9" w:rsidP="00B738D9">
            <w:pPr>
              <w:pStyle w:val="Heading2"/>
              <w:numPr>
                <w:ilvl w:val="0"/>
                <w:numId w:val="0"/>
              </w:numPr>
              <w:jc w:val="center"/>
              <w:outlineLvl w:val="1"/>
              <w:cnfStyle w:val="000000100000" w:firstRow="0" w:lastRow="0" w:firstColumn="0" w:lastColumn="0" w:oddVBand="0" w:evenVBand="0" w:oddHBand="1" w:evenHBand="0" w:firstRowFirstColumn="0" w:firstRowLastColumn="0" w:lastRowFirstColumn="0" w:lastRowLastColumn="0"/>
              <w:rPr>
                <w:b w:val="0"/>
                <w:sz w:val="24"/>
                <w:szCs w:val="24"/>
              </w:rPr>
            </w:pPr>
            <w:r w:rsidRPr="00B738D9">
              <w:rPr>
                <w:b w:val="0"/>
                <w:sz w:val="24"/>
                <w:szCs w:val="24"/>
              </w:rPr>
              <w:t>Decimal</w:t>
            </w:r>
          </w:p>
        </w:tc>
        <w:tc>
          <w:tcPr>
            <w:tcW w:w="5886" w:type="dxa"/>
          </w:tcPr>
          <w:p w:rsidR="00B738D9" w:rsidRPr="00B738D9" w:rsidRDefault="00B738D9" w:rsidP="00B738D9">
            <w:pPr>
              <w:pStyle w:val="Heading2"/>
              <w:numPr>
                <w:ilvl w:val="0"/>
                <w:numId w:val="0"/>
              </w:numPr>
              <w:outlineLvl w:val="1"/>
              <w:cnfStyle w:val="000000100000" w:firstRow="0" w:lastRow="0" w:firstColumn="0" w:lastColumn="0" w:oddVBand="0" w:evenVBand="0" w:oddHBand="1" w:evenHBand="0" w:firstRowFirstColumn="0" w:firstRowLastColumn="0" w:lastRowFirstColumn="0" w:lastRowLastColumn="0"/>
              <w:rPr>
                <w:b w:val="0"/>
                <w:sz w:val="24"/>
                <w:szCs w:val="24"/>
              </w:rPr>
            </w:pPr>
            <w:r w:rsidRPr="00B738D9">
              <w:rPr>
                <w:b w:val="0"/>
                <w:sz w:val="24"/>
                <w:szCs w:val="24"/>
              </w:rPr>
              <w:t xml:space="preserve">The ratio used to adjust costs if the </w:t>
            </w:r>
            <w:r w:rsidRPr="00B738D9">
              <w:rPr>
                <w:sz w:val="24"/>
                <w:szCs w:val="24"/>
              </w:rPr>
              <w:t>WPI(Yİ- ÜFE)</w:t>
            </w:r>
            <w:r w:rsidRPr="00B738D9">
              <w:rPr>
                <w:b w:val="0"/>
                <w:sz w:val="24"/>
                <w:szCs w:val="24"/>
              </w:rPr>
              <w:t xml:space="preserve"> increase is &gt;= 10%</w:t>
            </w:r>
          </w:p>
        </w:tc>
      </w:tr>
      <w:tr w:rsidR="00B738D9" w:rsidTr="00B738D9">
        <w:tc>
          <w:tcPr>
            <w:cnfStyle w:val="001000000000" w:firstRow="0" w:lastRow="0" w:firstColumn="1" w:lastColumn="0" w:oddVBand="0" w:evenVBand="0" w:oddHBand="0" w:evenHBand="0" w:firstRowFirstColumn="0" w:firstRowLastColumn="0" w:lastRowFirstColumn="0" w:lastRowLastColumn="0"/>
            <w:tcW w:w="2223" w:type="dxa"/>
          </w:tcPr>
          <w:p w:rsidR="00B738D9" w:rsidRPr="00B738D9" w:rsidRDefault="00B738D9" w:rsidP="00B738D9">
            <w:pPr>
              <w:pStyle w:val="Heading2"/>
              <w:numPr>
                <w:ilvl w:val="0"/>
                <w:numId w:val="0"/>
              </w:numPr>
              <w:jc w:val="center"/>
              <w:outlineLvl w:val="1"/>
              <w:rPr>
                <w:sz w:val="24"/>
                <w:szCs w:val="24"/>
              </w:rPr>
            </w:pPr>
            <w:r w:rsidRPr="00B738D9">
              <w:rPr>
                <w:sz w:val="24"/>
                <w:szCs w:val="24"/>
              </w:rPr>
              <w:t>taxable_gain</w:t>
            </w:r>
          </w:p>
        </w:tc>
        <w:tc>
          <w:tcPr>
            <w:tcW w:w="1755" w:type="dxa"/>
          </w:tcPr>
          <w:p w:rsidR="00B738D9" w:rsidRPr="00B738D9" w:rsidRDefault="00B738D9" w:rsidP="00B738D9">
            <w:pPr>
              <w:pStyle w:val="Heading2"/>
              <w:numPr>
                <w:ilvl w:val="0"/>
                <w:numId w:val="0"/>
              </w:numPr>
              <w:jc w:val="center"/>
              <w:outlineLvl w:val="1"/>
              <w:cnfStyle w:val="000000000000" w:firstRow="0" w:lastRow="0" w:firstColumn="0" w:lastColumn="0" w:oddVBand="0" w:evenVBand="0" w:oddHBand="0" w:evenHBand="0" w:firstRowFirstColumn="0" w:firstRowLastColumn="0" w:lastRowFirstColumn="0" w:lastRowLastColumn="0"/>
              <w:rPr>
                <w:b w:val="0"/>
                <w:sz w:val="24"/>
                <w:szCs w:val="24"/>
              </w:rPr>
            </w:pPr>
            <w:r w:rsidRPr="00B738D9">
              <w:rPr>
                <w:b w:val="0"/>
                <w:sz w:val="24"/>
                <w:szCs w:val="24"/>
              </w:rPr>
              <w:t>Decimal</w:t>
            </w:r>
          </w:p>
        </w:tc>
        <w:tc>
          <w:tcPr>
            <w:tcW w:w="5886" w:type="dxa"/>
          </w:tcPr>
          <w:p w:rsidR="00B738D9" w:rsidRPr="00B738D9" w:rsidRDefault="00B738D9" w:rsidP="00B738D9">
            <w:pPr>
              <w:pStyle w:val="Heading2"/>
              <w:numPr>
                <w:ilvl w:val="0"/>
                <w:numId w:val="0"/>
              </w:numPr>
              <w:outlineLvl w:val="1"/>
              <w:cnfStyle w:val="000000000000" w:firstRow="0" w:lastRow="0" w:firstColumn="0" w:lastColumn="0" w:oddVBand="0" w:evenVBand="0" w:oddHBand="0" w:evenHBand="0" w:firstRowFirstColumn="0" w:firstRowLastColumn="0" w:lastRowFirstColumn="0" w:lastRowLastColumn="0"/>
              <w:rPr>
                <w:b w:val="0"/>
                <w:sz w:val="24"/>
                <w:szCs w:val="24"/>
              </w:rPr>
            </w:pPr>
            <w:r w:rsidRPr="00B738D9">
              <w:rPr>
                <w:b w:val="0"/>
                <w:sz w:val="24"/>
                <w:szCs w:val="24"/>
              </w:rPr>
              <w:t>The final profit or loss amount in TL after all regulatory adjusments.</w:t>
            </w:r>
          </w:p>
        </w:tc>
      </w:tr>
    </w:tbl>
    <w:p w:rsidR="00052274" w:rsidRDefault="00B738D9" w:rsidP="00B738D9">
      <w:pPr>
        <w:pStyle w:val="Heading2"/>
        <w:numPr>
          <w:ilvl w:val="0"/>
          <w:numId w:val="0"/>
        </w:numPr>
      </w:pPr>
      <w:r>
        <w:t xml:space="preserve"> </w:t>
      </w:r>
    </w:p>
    <w:p w:rsidR="00052274" w:rsidRDefault="00052274" w:rsidP="00052274">
      <w:pPr>
        <w:pStyle w:val="Heading2"/>
      </w:pPr>
      <w:bookmarkStart w:id="48" w:name="_Toc221813169"/>
      <w:r w:rsidRPr="005F23D7">
        <w:t>Reports</w:t>
      </w:r>
      <w:bookmarkEnd w:id="48"/>
    </w:p>
    <w:p w:rsidR="00B738D9" w:rsidRDefault="00B738D9" w:rsidP="00B738D9">
      <w:r>
        <w:t>The system generates the following outputs to provide a comprehensive tax overview for the user and the brokerage firm:</w:t>
      </w:r>
    </w:p>
    <w:p w:rsidR="00B738D9" w:rsidRPr="00B738D9" w:rsidRDefault="00B738D9" w:rsidP="00B738D9">
      <w:pPr>
        <w:pStyle w:val="ListParagraph"/>
        <w:numPr>
          <w:ilvl w:val="0"/>
          <w:numId w:val="18"/>
        </w:numPr>
        <w:rPr>
          <w:b/>
        </w:rPr>
      </w:pPr>
      <w:r w:rsidRPr="00B738D9">
        <w:rPr>
          <w:b/>
        </w:rPr>
        <w:t>Annual Tax Summary Report</w:t>
      </w:r>
      <w:r>
        <w:rPr>
          <w:b/>
        </w:rPr>
        <w:t xml:space="preserve">: </w:t>
      </w:r>
      <w:r>
        <w:t>A high-level overview of total taxable gains, deductible losses, and the estimated final tax liability for the fiscal year.</w:t>
      </w:r>
    </w:p>
    <w:p w:rsidR="00B738D9" w:rsidRPr="00B738D9" w:rsidRDefault="00066454" w:rsidP="00B738D9">
      <w:pPr>
        <w:pStyle w:val="ListParagraph"/>
        <w:numPr>
          <w:ilvl w:val="0"/>
          <w:numId w:val="18"/>
        </w:numPr>
        <w:rPr>
          <w:b/>
        </w:rPr>
      </w:pPr>
      <w:r>
        <w:rPr>
          <w:b/>
        </w:rPr>
        <w:t xml:space="preserve">Transaction Audit Breakdown: </w:t>
      </w:r>
      <w:r>
        <w:t>A granular list showing specific matching of sell orders to purchase lots, including the indexing calculations and currency conversion details for each entry.</w:t>
      </w:r>
    </w:p>
    <w:p w:rsidR="00066454" w:rsidRDefault="00052274" w:rsidP="00052274">
      <w:pPr>
        <w:pStyle w:val="Heading2"/>
      </w:pPr>
      <w:bookmarkStart w:id="49" w:name="_Toc221813170"/>
      <w:r w:rsidRPr="005F23D7">
        <w:t>Data Acquisition, Integrity, Retention, and Disposal</w:t>
      </w:r>
      <w:bookmarkEnd w:id="49"/>
    </w:p>
    <w:p w:rsidR="00066454" w:rsidRPr="00066454" w:rsidRDefault="00066454" w:rsidP="00066454">
      <w:pPr>
        <w:pStyle w:val="ListParagraph"/>
        <w:numPr>
          <w:ilvl w:val="0"/>
          <w:numId w:val="19"/>
        </w:numPr>
        <w:rPr>
          <w:b/>
        </w:rPr>
      </w:pPr>
      <w:r>
        <w:rPr>
          <w:b/>
        </w:rPr>
        <w:t xml:space="preserve">Data Acquisition: </w:t>
      </w:r>
      <w:r>
        <w:t>Users manually provide transaction history via CSV or Excel files. (</w:t>
      </w:r>
      <w:r w:rsidRPr="00066454">
        <w:t>Data entry is limited in the PoC version for rapid prototyping</w:t>
      </w:r>
      <w:r>
        <w:t>)</w:t>
      </w:r>
    </w:p>
    <w:p w:rsidR="00066454" w:rsidRPr="00066454" w:rsidRDefault="00066454" w:rsidP="00066454">
      <w:pPr>
        <w:pStyle w:val="ListParagraph"/>
        <w:numPr>
          <w:ilvl w:val="0"/>
          <w:numId w:val="19"/>
        </w:numPr>
        <w:rPr>
          <w:b/>
        </w:rPr>
      </w:pPr>
      <w:r>
        <w:rPr>
          <w:b/>
        </w:rPr>
        <w:t xml:space="preserve">Data Integrity: </w:t>
      </w:r>
      <w:r>
        <w:t>The system implements strict validation to ensure dates, quantities, and prices are within logical ranges and formats before processing.</w:t>
      </w:r>
    </w:p>
    <w:p w:rsidR="00066454" w:rsidRPr="00066454" w:rsidRDefault="00066454" w:rsidP="00066454">
      <w:pPr>
        <w:pStyle w:val="ListParagraph"/>
        <w:numPr>
          <w:ilvl w:val="0"/>
          <w:numId w:val="19"/>
        </w:numPr>
        <w:rPr>
          <w:b/>
        </w:rPr>
      </w:pPr>
      <w:r>
        <w:rPr>
          <w:b/>
        </w:rPr>
        <w:lastRenderedPageBreak/>
        <w:t xml:space="preserve">Retention and Disposal: </w:t>
      </w:r>
      <w:r>
        <w:t>As a Proof of Concept (PoC), the system processes data in volatile memory (RAM) only. No personal financial data is retained on the disk after the session is terminated or the report is generated.</w:t>
      </w:r>
    </w:p>
    <w:p w:rsidR="00052274" w:rsidRDefault="00052274" w:rsidP="00066454">
      <w:pPr>
        <w:pStyle w:val="Heading2"/>
        <w:numPr>
          <w:ilvl w:val="0"/>
          <w:numId w:val="0"/>
        </w:numPr>
      </w:pPr>
      <w:r>
        <w:t xml:space="preserve"> </w:t>
      </w:r>
    </w:p>
    <w:p w:rsidR="006059E7" w:rsidRPr="006059E7" w:rsidRDefault="00310C4B" w:rsidP="006059E7">
      <w:pPr>
        <w:pStyle w:val="Heading1"/>
      </w:pPr>
      <w:bookmarkStart w:id="50" w:name="_Toc221813171"/>
      <w:r w:rsidRPr="005F23D7">
        <w:t>External Interface Requirements</w:t>
      </w:r>
      <w:bookmarkEnd w:id="32"/>
      <w:bookmarkEnd w:id="50"/>
    </w:p>
    <w:p w:rsidR="00310C4B" w:rsidRDefault="00310C4B" w:rsidP="00066454">
      <w:pPr>
        <w:pStyle w:val="Heading2"/>
      </w:pPr>
      <w:bookmarkStart w:id="51" w:name="_Toc221813172"/>
      <w:r w:rsidRPr="005F23D7">
        <w:t>User Interfaces</w:t>
      </w:r>
      <w:bookmarkEnd w:id="51"/>
    </w:p>
    <w:p w:rsidR="00066454" w:rsidRDefault="00066454" w:rsidP="00066454">
      <w:r>
        <w:t xml:space="preserve">The PoC version of the </w:t>
      </w:r>
      <w:r w:rsidRPr="00066454">
        <w:rPr>
          <w:b/>
        </w:rPr>
        <w:t>TaxEngine</w:t>
      </w:r>
      <w:r>
        <w:rPr>
          <w:b/>
        </w:rPr>
        <w:t xml:space="preserve"> </w:t>
      </w:r>
      <w:r>
        <w:t>will prior</w:t>
      </w:r>
      <w:r w:rsidR="002A1EF3">
        <w:t>itize functional logic over a graphical user interface.</w:t>
      </w:r>
    </w:p>
    <w:p w:rsidR="002A1EF3" w:rsidRDefault="002A1EF3" w:rsidP="002A1EF3">
      <w:pPr>
        <w:pStyle w:val="ListParagraph"/>
        <w:numPr>
          <w:ilvl w:val="0"/>
          <w:numId w:val="20"/>
        </w:numPr>
      </w:pPr>
      <w:r>
        <w:rPr>
          <w:b/>
        </w:rPr>
        <w:t xml:space="preserve">Interface Type: </w:t>
      </w:r>
      <w:r>
        <w:t>The system shall provide a Command Line Interface (CLI) for user interactions.</w:t>
      </w:r>
    </w:p>
    <w:p w:rsidR="002A1EF3" w:rsidRDefault="002A1EF3" w:rsidP="002A1EF3">
      <w:pPr>
        <w:pStyle w:val="ListParagraph"/>
        <w:numPr>
          <w:ilvl w:val="0"/>
          <w:numId w:val="20"/>
        </w:numPr>
      </w:pPr>
      <w:r>
        <w:rPr>
          <w:b/>
        </w:rPr>
        <w:t xml:space="preserve">Interaction Flow: </w:t>
      </w:r>
      <w:r>
        <w:t>User will interact by specifying file paths for input data (CSV/Excel) and receiving console-based progress updates and calculation results.</w:t>
      </w:r>
    </w:p>
    <w:p w:rsidR="002A1EF3" w:rsidRPr="00066454" w:rsidRDefault="002A1EF3" w:rsidP="002A1EF3">
      <w:pPr>
        <w:pStyle w:val="ListParagraph"/>
        <w:numPr>
          <w:ilvl w:val="0"/>
          <w:numId w:val="20"/>
        </w:numPr>
      </w:pPr>
      <w:r>
        <w:rPr>
          <w:b/>
        </w:rPr>
        <w:t>Error Displat:</w:t>
      </w:r>
      <w:r>
        <w:t xml:space="preserve"> Standardized error messages will be displayed in the console for invalid file formats or missing data fields to ensure usability and ease of correction.</w:t>
      </w:r>
    </w:p>
    <w:p w:rsidR="002A1EF3" w:rsidRDefault="00310C4B" w:rsidP="002A1EF3">
      <w:pPr>
        <w:pStyle w:val="Heading2"/>
      </w:pPr>
      <w:bookmarkStart w:id="52" w:name="_Toc439994685"/>
      <w:bookmarkStart w:id="53" w:name="_Toc221813173"/>
      <w:r w:rsidRPr="005F23D7">
        <w:t>Software Interfaces</w:t>
      </w:r>
      <w:bookmarkEnd w:id="52"/>
      <w:bookmarkEnd w:id="53"/>
    </w:p>
    <w:p w:rsidR="002A1EF3" w:rsidRDefault="002A1EF3" w:rsidP="002A1EF3">
      <w:r w:rsidRPr="002A1EF3">
        <w:t xml:space="preserve">The </w:t>
      </w:r>
      <w:r w:rsidRPr="002A1EF3">
        <w:rPr>
          <w:b/>
        </w:rPr>
        <w:t>TaxEngine</w:t>
      </w:r>
      <w:r w:rsidRPr="002A1EF3">
        <w:t xml:space="preserve"> connects with various software components and external data sources to perform its primary functions.</w:t>
      </w:r>
    </w:p>
    <w:p w:rsidR="002A1EF3" w:rsidRPr="002A1EF3" w:rsidRDefault="002A1EF3" w:rsidP="002A1EF3">
      <w:pPr>
        <w:pStyle w:val="ListParagraph"/>
        <w:numPr>
          <w:ilvl w:val="0"/>
          <w:numId w:val="21"/>
        </w:numPr>
        <w:spacing w:before="100" w:beforeAutospacing="1" w:after="100" w:afterAutospacing="1" w:line="240" w:lineRule="auto"/>
        <w:rPr>
          <w:szCs w:val="24"/>
        </w:rPr>
      </w:pPr>
      <w:r w:rsidRPr="002A1EF3">
        <w:rPr>
          <w:b/>
          <w:bCs/>
          <w:szCs w:val="24"/>
        </w:rPr>
        <w:t>Runtime Environment:</w:t>
      </w:r>
      <w:r w:rsidRPr="002A1EF3">
        <w:rPr>
          <w:szCs w:val="24"/>
        </w:rPr>
        <w:t xml:space="preserve"> The software requires a </w:t>
      </w:r>
      <w:r w:rsidRPr="002A1EF3">
        <w:rPr>
          <w:b/>
          <w:bCs/>
          <w:szCs w:val="24"/>
        </w:rPr>
        <w:t>Python 3.10+</w:t>
      </w:r>
      <w:r w:rsidRPr="002A1EF3">
        <w:rPr>
          <w:szCs w:val="24"/>
        </w:rPr>
        <w:t xml:space="preserve"> execution environment and utilizes libraries such as </w:t>
      </w:r>
      <w:r w:rsidRPr="002A1EF3">
        <w:rPr>
          <w:b/>
          <w:bCs/>
          <w:szCs w:val="24"/>
        </w:rPr>
        <w:t>Pandas</w:t>
      </w:r>
      <w:r w:rsidRPr="002A1EF3">
        <w:rPr>
          <w:szCs w:val="24"/>
        </w:rPr>
        <w:t xml:space="preserve"> for high-performance data manipulation and </w:t>
      </w:r>
      <w:r w:rsidRPr="002A1EF3">
        <w:rPr>
          <w:b/>
          <w:bCs/>
          <w:szCs w:val="24"/>
        </w:rPr>
        <w:t>Pydantic</w:t>
      </w:r>
      <w:r w:rsidRPr="002A1EF3">
        <w:rPr>
          <w:szCs w:val="24"/>
        </w:rPr>
        <w:t xml:space="preserve"> for rigorous data validation.</w:t>
      </w:r>
    </w:p>
    <w:p w:rsidR="002A1EF3" w:rsidRPr="002A1EF3" w:rsidRDefault="002A1EF3" w:rsidP="002A1EF3">
      <w:pPr>
        <w:pStyle w:val="ListParagraph"/>
        <w:numPr>
          <w:ilvl w:val="0"/>
          <w:numId w:val="21"/>
        </w:numPr>
        <w:spacing w:before="100" w:beforeAutospacing="1" w:after="100" w:afterAutospacing="1" w:line="240" w:lineRule="auto"/>
        <w:rPr>
          <w:szCs w:val="24"/>
        </w:rPr>
      </w:pPr>
      <w:r w:rsidRPr="002A1EF3">
        <w:rPr>
          <w:b/>
          <w:bCs/>
          <w:szCs w:val="24"/>
        </w:rPr>
        <w:t>Data Sources:</w:t>
      </w:r>
      <w:r w:rsidRPr="002A1EF3">
        <w:rPr>
          <w:szCs w:val="24"/>
        </w:rPr>
        <w:t xml:space="preserve"> The system interfaces with local or external data files containing historical </w:t>
      </w:r>
      <w:r w:rsidRPr="002A1EF3">
        <w:rPr>
          <w:b/>
          <w:bCs/>
          <w:szCs w:val="24"/>
        </w:rPr>
        <w:t>CBRT (TCMB)</w:t>
      </w:r>
      <w:r w:rsidRPr="002A1EF3">
        <w:rPr>
          <w:szCs w:val="24"/>
        </w:rPr>
        <w:t xml:space="preserve"> exchange rates and </w:t>
      </w:r>
      <w:r w:rsidRPr="002A1EF3">
        <w:rPr>
          <w:b/>
          <w:bCs/>
          <w:szCs w:val="24"/>
        </w:rPr>
        <w:t>TURKSTAT (TÜİK)</w:t>
      </w:r>
      <w:r w:rsidRPr="002A1EF3">
        <w:rPr>
          <w:szCs w:val="24"/>
        </w:rPr>
        <w:t xml:space="preserve"> WPI (Yİ-ÜFE) indices.</w:t>
      </w:r>
    </w:p>
    <w:p w:rsidR="00310C4B" w:rsidRPr="002A1EF3" w:rsidRDefault="002A1EF3" w:rsidP="002A1EF3">
      <w:pPr>
        <w:pStyle w:val="ListParagraph"/>
        <w:numPr>
          <w:ilvl w:val="0"/>
          <w:numId w:val="21"/>
        </w:numPr>
        <w:spacing w:before="100" w:beforeAutospacing="1" w:after="100" w:afterAutospacing="1" w:line="240" w:lineRule="auto"/>
        <w:rPr>
          <w:szCs w:val="24"/>
        </w:rPr>
      </w:pPr>
      <w:r w:rsidRPr="002A1EF3">
        <w:rPr>
          <w:b/>
          <w:bCs/>
          <w:szCs w:val="24"/>
        </w:rPr>
        <w:t>Exporting Tools:</w:t>
      </w:r>
      <w:r w:rsidRPr="002A1EF3">
        <w:rPr>
          <w:szCs w:val="24"/>
        </w:rPr>
        <w:t xml:space="preserve"> The engine shall interface with file system libraries to generate output reports in </w:t>
      </w:r>
      <w:r w:rsidRPr="002A1EF3">
        <w:rPr>
          <w:b/>
          <w:bCs/>
          <w:szCs w:val="24"/>
        </w:rPr>
        <w:t>Excel (.xlsx)</w:t>
      </w:r>
      <w:r w:rsidRPr="002A1EF3">
        <w:rPr>
          <w:szCs w:val="24"/>
        </w:rPr>
        <w:t xml:space="preserve"> or </w:t>
      </w:r>
      <w:r w:rsidRPr="002A1EF3">
        <w:rPr>
          <w:b/>
          <w:bCs/>
          <w:szCs w:val="24"/>
        </w:rPr>
        <w:t>PDF</w:t>
      </w:r>
      <w:r w:rsidRPr="002A1EF3">
        <w:rPr>
          <w:szCs w:val="24"/>
        </w:rPr>
        <w:t xml:space="preserve"> formats.</w:t>
      </w:r>
    </w:p>
    <w:p w:rsidR="002A1EF3" w:rsidRDefault="006059E7" w:rsidP="002A1EF3">
      <w:pPr>
        <w:pStyle w:val="Heading2"/>
      </w:pPr>
      <w:bookmarkStart w:id="54" w:name="_Toc439994684"/>
      <w:bookmarkStart w:id="55" w:name="_Toc221813174"/>
      <w:bookmarkStart w:id="56" w:name="_Toc439994686"/>
      <w:r w:rsidRPr="005F23D7">
        <w:t>Hardware Interfaces</w:t>
      </w:r>
      <w:bookmarkEnd w:id="54"/>
      <w:bookmarkEnd w:id="55"/>
    </w:p>
    <w:p w:rsidR="002A1EF3" w:rsidRPr="002A1EF3" w:rsidRDefault="006059E7" w:rsidP="002A1EF3">
      <w:pPr>
        <w:pStyle w:val="NormalWeb"/>
      </w:pPr>
      <w:r>
        <w:t xml:space="preserve"> </w:t>
      </w:r>
      <w:r w:rsidR="002A1EF3" w:rsidRPr="002A1EF3">
        <w:t xml:space="preserve">As a software-based calculation engine, the </w:t>
      </w:r>
      <w:r w:rsidR="002A1EF3" w:rsidRPr="002A1EF3">
        <w:rPr>
          <w:b/>
          <w:bCs/>
        </w:rPr>
        <w:t>TaxEngine</w:t>
      </w:r>
      <w:r w:rsidR="002A1EF3" w:rsidRPr="002A1EF3">
        <w:t xml:space="preserve"> has minimal direct hardware dependencies.</w:t>
      </w:r>
    </w:p>
    <w:p w:rsidR="002A1EF3" w:rsidRPr="002A1EF3" w:rsidRDefault="002A1EF3" w:rsidP="002A1EF3">
      <w:pPr>
        <w:numPr>
          <w:ilvl w:val="0"/>
          <w:numId w:val="22"/>
        </w:numPr>
        <w:spacing w:before="100" w:beforeAutospacing="1" w:after="100" w:afterAutospacing="1" w:line="240" w:lineRule="auto"/>
        <w:rPr>
          <w:szCs w:val="24"/>
        </w:rPr>
      </w:pPr>
      <w:r w:rsidRPr="002A1EF3">
        <w:rPr>
          <w:b/>
          <w:bCs/>
          <w:szCs w:val="24"/>
        </w:rPr>
        <w:t>Standard Workstation:</w:t>
      </w:r>
      <w:r w:rsidRPr="002A1EF3">
        <w:rPr>
          <w:szCs w:val="24"/>
        </w:rPr>
        <w:t xml:space="preserve"> The system operates on standard personal computers or server environments without requiring specialized hardware peripherals.</w:t>
      </w:r>
    </w:p>
    <w:p w:rsidR="002A1EF3" w:rsidRPr="002A1EF3" w:rsidRDefault="002A1EF3" w:rsidP="002A1EF3">
      <w:pPr>
        <w:numPr>
          <w:ilvl w:val="0"/>
          <w:numId w:val="22"/>
        </w:numPr>
        <w:spacing w:before="100" w:beforeAutospacing="1" w:after="100" w:afterAutospacing="1" w:line="240" w:lineRule="auto"/>
        <w:rPr>
          <w:szCs w:val="24"/>
        </w:rPr>
      </w:pPr>
      <w:r w:rsidRPr="002A1EF3">
        <w:rPr>
          <w:b/>
          <w:bCs/>
          <w:szCs w:val="24"/>
        </w:rPr>
        <w:t>Input/Output Devices:</w:t>
      </w:r>
      <w:r w:rsidRPr="002A1EF3">
        <w:rPr>
          <w:szCs w:val="24"/>
        </w:rPr>
        <w:t xml:space="preserve"> Standard input (keyboard) and output (monitor) are used for CLI interaction and report viewing.</w:t>
      </w:r>
    </w:p>
    <w:p w:rsidR="006059E7" w:rsidRPr="002A1EF3" w:rsidRDefault="006059E7" w:rsidP="002A1EF3">
      <w:pPr>
        <w:pStyle w:val="Heading2"/>
        <w:numPr>
          <w:ilvl w:val="0"/>
          <w:numId w:val="0"/>
        </w:numPr>
        <w:rPr>
          <w:sz w:val="24"/>
          <w:szCs w:val="24"/>
        </w:rPr>
      </w:pPr>
    </w:p>
    <w:p w:rsidR="00310C4B" w:rsidRDefault="00310C4B" w:rsidP="002A1EF3">
      <w:pPr>
        <w:pStyle w:val="Heading2"/>
      </w:pPr>
      <w:bookmarkStart w:id="57" w:name="_Toc221813175"/>
      <w:r w:rsidRPr="005F23D7">
        <w:t>Communications Interfaces</w:t>
      </w:r>
      <w:bookmarkEnd w:id="56"/>
      <w:bookmarkEnd w:id="57"/>
    </w:p>
    <w:p w:rsidR="002A1EF3" w:rsidRPr="002A1EF3" w:rsidRDefault="002A1EF3" w:rsidP="002A1EF3">
      <w:pPr>
        <w:spacing w:before="100" w:beforeAutospacing="1" w:after="100" w:afterAutospacing="1" w:line="240" w:lineRule="auto"/>
        <w:rPr>
          <w:szCs w:val="24"/>
        </w:rPr>
      </w:pPr>
      <w:r w:rsidRPr="002A1EF3">
        <w:rPr>
          <w:szCs w:val="24"/>
        </w:rPr>
        <w:t>The current PoC version focuses on local data processing.</w:t>
      </w:r>
    </w:p>
    <w:p w:rsidR="002A1EF3" w:rsidRPr="002A1EF3" w:rsidRDefault="002A1EF3" w:rsidP="002A1EF3">
      <w:pPr>
        <w:numPr>
          <w:ilvl w:val="0"/>
          <w:numId w:val="23"/>
        </w:numPr>
        <w:spacing w:before="100" w:beforeAutospacing="1" w:after="100" w:afterAutospacing="1" w:line="240" w:lineRule="auto"/>
        <w:rPr>
          <w:szCs w:val="24"/>
        </w:rPr>
      </w:pPr>
      <w:r w:rsidRPr="002A1EF3">
        <w:rPr>
          <w:b/>
          <w:bCs/>
          <w:szCs w:val="24"/>
        </w:rPr>
        <w:lastRenderedPageBreak/>
        <w:t>Local I/O:</w:t>
      </w:r>
      <w:r w:rsidRPr="002A1EF3">
        <w:rPr>
          <w:szCs w:val="24"/>
        </w:rPr>
        <w:t xml:space="preserve"> All communications between the user and the system occur via local file system inputs and outputs.</w:t>
      </w:r>
    </w:p>
    <w:p w:rsidR="002A1EF3" w:rsidRPr="002A1EF3" w:rsidRDefault="002A1EF3" w:rsidP="002A1EF3">
      <w:pPr>
        <w:numPr>
          <w:ilvl w:val="0"/>
          <w:numId w:val="23"/>
        </w:numPr>
        <w:spacing w:before="100" w:beforeAutospacing="1" w:after="100" w:afterAutospacing="1" w:line="240" w:lineRule="auto"/>
        <w:rPr>
          <w:szCs w:val="24"/>
        </w:rPr>
      </w:pPr>
      <w:r w:rsidRPr="002A1EF3">
        <w:rPr>
          <w:b/>
          <w:bCs/>
          <w:szCs w:val="24"/>
        </w:rPr>
        <w:t>Future Considerations:</w:t>
      </w:r>
      <w:r w:rsidRPr="002A1EF3">
        <w:rPr>
          <w:szCs w:val="24"/>
        </w:rPr>
        <w:t xml:space="preserve"> While the PoC uses local files, the architecture is designed to support future </w:t>
      </w:r>
      <w:r w:rsidRPr="002A1EF3">
        <w:rPr>
          <w:b/>
          <w:bCs/>
          <w:szCs w:val="24"/>
        </w:rPr>
        <w:t>REST API</w:t>
      </w:r>
      <w:r w:rsidRPr="002A1EF3">
        <w:rPr>
          <w:szCs w:val="24"/>
        </w:rPr>
        <w:t xml:space="preserve"> communication for cloud-based or web-integrated brokerage services.</w:t>
      </w:r>
    </w:p>
    <w:p w:rsidR="00310C4B" w:rsidRPr="005F23D7" w:rsidRDefault="00C44E3E">
      <w:pPr>
        <w:pStyle w:val="Heading1"/>
      </w:pPr>
      <w:bookmarkStart w:id="58" w:name="_Toc221813176"/>
      <w:bookmarkStart w:id="59" w:name="_Toc439994690"/>
      <w:r w:rsidRPr="005F23D7">
        <w:t>Quality Attributes</w:t>
      </w:r>
      <w:bookmarkEnd w:id="58"/>
    </w:p>
    <w:p w:rsidR="00C44E3E" w:rsidRDefault="00C44E3E" w:rsidP="00C44E3E">
      <w:pPr>
        <w:pStyle w:val="Heading2"/>
      </w:pPr>
      <w:bookmarkStart w:id="60" w:name="_Toc221813177"/>
      <w:r w:rsidRPr="005F23D7">
        <w:t>Usability</w:t>
      </w:r>
      <w:bookmarkEnd w:id="60"/>
    </w:p>
    <w:p w:rsidR="002A1EF3" w:rsidRDefault="002A1EF3" w:rsidP="002A1EF3">
      <w:pPr>
        <w:pStyle w:val="ListParagraph"/>
        <w:numPr>
          <w:ilvl w:val="0"/>
          <w:numId w:val="24"/>
        </w:numPr>
      </w:pPr>
      <w:r w:rsidRPr="002A1EF3">
        <w:rPr>
          <w:b/>
        </w:rPr>
        <w:t>CLI Interaction:</w:t>
      </w:r>
      <w:r>
        <w:t xml:space="preserve"> The system shall provide a clear and intuitive Command Line Interface (CLI) tailored for technical analysts and developers.</w:t>
      </w:r>
    </w:p>
    <w:p w:rsidR="002A1EF3" w:rsidRDefault="002A1EF3" w:rsidP="002A1EF3"/>
    <w:p w:rsidR="002A1EF3" w:rsidRDefault="002A1EF3" w:rsidP="002A1EF3"/>
    <w:p w:rsidR="002A1EF3" w:rsidRDefault="002A1EF3" w:rsidP="002A1EF3">
      <w:pPr>
        <w:pStyle w:val="ListParagraph"/>
        <w:numPr>
          <w:ilvl w:val="0"/>
          <w:numId w:val="24"/>
        </w:numPr>
      </w:pPr>
      <w:r w:rsidRPr="002A1EF3">
        <w:rPr>
          <w:b/>
        </w:rPr>
        <w:t>Error Messaging:</w:t>
      </w:r>
      <w:r>
        <w:t xml:space="preserve"> The engine must display descriptive error messages when encountering invalid data formats (e.g., incorrect date strings or non-numeric prices) to facilitate quick user correction.</w:t>
      </w:r>
    </w:p>
    <w:p w:rsidR="002A1EF3" w:rsidRDefault="002A1EF3" w:rsidP="002A1EF3"/>
    <w:p w:rsidR="002A1EF3" w:rsidRDefault="002A1EF3" w:rsidP="002A1EF3"/>
    <w:p w:rsidR="002A1EF3" w:rsidRPr="002A1EF3" w:rsidRDefault="002A1EF3" w:rsidP="002A1EF3">
      <w:pPr>
        <w:pStyle w:val="ListParagraph"/>
        <w:numPr>
          <w:ilvl w:val="0"/>
          <w:numId w:val="24"/>
        </w:numPr>
      </w:pPr>
      <w:r w:rsidRPr="00CE2EDB">
        <w:rPr>
          <w:b/>
        </w:rPr>
        <w:t>Ease of Learning:</w:t>
      </w:r>
      <w:r>
        <w:t xml:space="preserve"> The software should be designed so that a user familiar with brokerage CSV exports can run a full tax report within minutes of setup.</w:t>
      </w:r>
    </w:p>
    <w:p w:rsidR="00310C4B" w:rsidRDefault="00310C4B" w:rsidP="00CE2EDB">
      <w:pPr>
        <w:pStyle w:val="Heading2"/>
      </w:pPr>
      <w:bookmarkStart w:id="61" w:name="_Toc221813178"/>
      <w:r w:rsidRPr="005F23D7">
        <w:t>Performance</w:t>
      </w:r>
      <w:bookmarkEnd w:id="59"/>
      <w:bookmarkEnd w:id="61"/>
    </w:p>
    <w:p w:rsidR="00CE2EDB" w:rsidRDefault="00CE2EDB" w:rsidP="00CE2EDB">
      <w:pPr>
        <w:pStyle w:val="ListParagraph"/>
        <w:numPr>
          <w:ilvl w:val="0"/>
          <w:numId w:val="25"/>
        </w:numPr>
      </w:pPr>
      <w:r w:rsidRPr="00CE2EDB">
        <w:rPr>
          <w:b/>
        </w:rPr>
        <w:t>Processing Speed:</w:t>
      </w:r>
      <w:r>
        <w:t xml:space="preserve"> The engine shall be capable of processing a typical annual transaction history (up to 1,000 trades) in under five seconds.</w:t>
      </w:r>
    </w:p>
    <w:p w:rsidR="00CE2EDB" w:rsidRDefault="00CE2EDB" w:rsidP="00CE2EDB"/>
    <w:p w:rsidR="00CE2EDB" w:rsidRDefault="00CE2EDB" w:rsidP="00CE2EDB"/>
    <w:p w:rsidR="00CE2EDB" w:rsidRPr="00CE2EDB" w:rsidRDefault="00CE2EDB" w:rsidP="00CE2EDB">
      <w:pPr>
        <w:pStyle w:val="ListParagraph"/>
        <w:numPr>
          <w:ilvl w:val="0"/>
          <w:numId w:val="25"/>
        </w:numPr>
      </w:pPr>
      <w:r w:rsidRPr="00CE2EDB">
        <w:rPr>
          <w:b/>
        </w:rPr>
        <w:t>Resource Efficiency:</w:t>
      </w:r>
      <w:r>
        <w:t xml:space="preserve"> The system shall utilize optimized data structures like Pandas DataFrames to ensure minimal CPU and memory overhead during large-scale FIFO matching.</w:t>
      </w:r>
    </w:p>
    <w:p w:rsidR="00310C4B" w:rsidRDefault="00310C4B" w:rsidP="00CE2EDB">
      <w:pPr>
        <w:pStyle w:val="Heading2"/>
      </w:pPr>
      <w:bookmarkStart w:id="62" w:name="_Toc439994692"/>
      <w:bookmarkStart w:id="63" w:name="_Toc221813179"/>
      <w:r w:rsidRPr="005F23D7">
        <w:t>Security</w:t>
      </w:r>
      <w:bookmarkEnd w:id="62"/>
      <w:bookmarkEnd w:id="63"/>
    </w:p>
    <w:p w:rsidR="00CE2EDB" w:rsidRDefault="00CE2EDB" w:rsidP="00CE2EDB">
      <w:pPr>
        <w:pStyle w:val="ListParagraph"/>
        <w:numPr>
          <w:ilvl w:val="0"/>
          <w:numId w:val="26"/>
        </w:numPr>
      </w:pPr>
      <w:r w:rsidRPr="00CE2EDB">
        <w:rPr>
          <w:b/>
        </w:rPr>
        <w:t>Data Privacy:</w:t>
      </w:r>
      <w:r>
        <w:t xml:space="preserve"> To ensure the security of sensitive financial information, the PoC will not store any user-uploaded transaction data on a permanent disk or database.</w:t>
      </w:r>
    </w:p>
    <w:p w:rsidR="00CE2EDB" w:rsidRDefault="00CE2EDB" w:rsidP="00CE2EDB"/>
    <w:p w:rsidR="00CE2EDB" w:rsidRDefault="00CE2EDB" w:rsidP="00CE2EDB"/>
    <w:p w:rsidR="00CE2EDB" w:rsidRPr="00CE2EDB" w:rsidRDefault="00CE2EDB" w:rsidP="00CE2EDB">
      <w:pPr>
        <w:pStyle w:val="ListParagraph"/>
        <w:numPr>
          <w:ilvl w:val="0"/>
          <w:numId w:val="26"/>
        </w:numPr>
      </w:pPr>
      <w:r w:rsidRPr="00CE2EDB">
        <w:rPr>
          <w:b/>
        </w:rPr>
        <w:t>Volatile Processing:</w:t>
      </w:r>
      <w:r>
        <w:t xml:space="preserve"> All calculations shall occur within the system's volatile memory (RAM), and all data must be disposed of immediately upon the termination of the session.</w:t>
      </w:r>
    </w:p>
    <w:p w:rsidR="00C44E3E" w:rsidRDefault="00C44E3E" w:rsidP="00C44E3E">
      <w:pPr>
        <w:pStyle w:val="Heading2"/>
      </w:pPr>
      <w:bookmarkStart w:id="64" w:name="_Toc439994691"/>
      <w:bookmarkStart w:id="65" w:name="_Toc221813180"/>
      <w:bookmarkStart w:id="66" w:name="_Toc439994693"/>
      <w:r w:rsidRPr="005F23D7">
        <w:t>Safety</w:t>
      </w:r>
      <w:bookmarkEnd w:id="64"/>
      <w:bookmarkEnd w:id="65"/>
    </w:p>
    <w:p w:rsidR="00CE2EDB" w:rsidRDefault="00CE2EDB" w:rsidP="00CE2EDB">
      <w:pPr>
        <w:pStyle w:val="ListParagraph"/>
        <w:numPr>
          <w:ilvl w:val="0"/>
          <w:numId w:val="27"/>
        </w:numPr>
      </w:pPr>
      <w:r w:rsidRPr="00CE2EDB">
        <w:rPr>
          <w:b/>
        </w:rPr>
        <w:t>Regulatory Compliance:</w:t>
      </w:r>
      <w:r>
        <w:t xml:space="preserve"> The system's primary "safety" measure is its strict adherence to the calculation formulas defined in Income Tax Law (GVK) Articles 80 and 81.</w:t>
      </w:r>
    </w:p>
    <w:p w:rsidR="00CE2EDB" w:rsidRDefault="00CE2EDB" w:rsidP="00CE2EDB"/>
    <w:p w:rsidR="00CE2EDB" w:rsidRDefault="00CE2EDB" w:rsidP="00CE2EDB"/>
    <w:p w:rsidR="00CE2EDB" w:rsidRPr="00CE2EDB" w:rsidRDefault="00CE2EDB" w:rsidP="00CE2EDB">
      <w:pPr>
        <w:pStyle w:val="ListParagraph"/>
        <w:numPr>
          <w:ilvl w:val="0"/>
          <w:numId w:val="27"/>
        </w:numPr>
      </w:pPr>
      <w:r w:rsidRPr="00CE2EDB">
        <w:rPr>
          <w:b/>
        </w:rPr>
        <w:lastRenderedPageBreak/>
        <w:t>Calculation Precision:</w:t>
      </w:r>
      <w:r>
        <w:t xml:space="preserve"> All currency conversions and indexing operations must use high-precision decimal math (rather than standard floating-point) to avoid rounding errors in tax liability.</w:t>
      </w:r>
    </w:p>
    <w:bookmarkEnd w:id="66"/>
    <w:p w:rsidR="00310C4B" w:rsidRDefault="00CE2EDB" w:rsidP="00CE2EDB">
      <w:pPr>
        <w:pStyle w:val="Heading2"/>
      </w:pPr>
      <w:r>
        <w:t>Verifiability</w:t>
      </w:r>
    </w:p>
    <w:p w:rsidR="00CE2EDB" w:rsidRDefault="00CE2EDB" w:rsidP="00CE2EDB">
      <w:pPr>
        <w:pStyle w:val="ListParagraph"/>
        <w:numPr>
          <w:ilvl w:val="0"/>
          <w:numId w:val="31"/>
        </w:numPr>
      </w:pPr>
      <w:r w:rsidRPr="00CE2EDB">
        <w:rPr>
          <w:b/>
        </w:rPr>
        <w:t>Audit Trails:</w:t>
      </w:r>
      <w:r>
        <w:t xml:space="preserve"> The system shall generate a Transaction Detail List that allows users to manually verify how each sell order was matched to a purchase lot.</w:t>
      </w:r>
    </w:p>
    <w:p w:rsidR="00CE2EDB" w:rsidRDefault="00CE2EDB" w:rsidP="00CE2EDB"/>
    <w:p w:rsidR="00CE2EDB" w:rsidRDefault="00CE2EDB" w:rsidP="00CE2EDB"/>
    <w:p w:rsidR="00CE2EDB" w:rsidRPr="00CE2EDB" w:rsidRDefault="00CE2EDB" w:rsidP="00CE2EDB">
      <w:pPr>
        <w:pStyle w:val="ListParagraph"/>
        <w:numPr>
          <w:ilvl w:val="0"/>
          <w:numId w:val="31"/>
        </w:numPr>
      </w:pPr>
      <w:r w:rsidRPr="00CE2EDB">
        <w:rPr>
          <w:b/>
        </w:rPr>
        <w:t>Transparency:</w:t>
      </w:r>
      <w:r>
        <w:t xml:space="preserve"> The logic for WPI (Yİ-ÜFE) indexing (the 10% threshold) must be explicitly shown in the output report to confirm that the tax base was adjusted correctly according to law.</w:t>
      </w:r>
    </w:p>
    <w:p w:rsidR="00C44E3E" w:rsidRDefault="00C44E3E" w:rsidP="00C44E3E">
      <w:pPr>
        <w:pStyle w:val="Heading1"/>
      </w:pPr>
      <w:bookmarkStart w:id="67" w:name="_Toc221813182"/>
      <w:bookmarkStart w:id="68" w:name="_Toc439994695"/>
      <w:r w:rsidRPr="005F23D7">
        <w:t>Internationalization and Localization Requirements</w:t>
      </w:r>
      <w:bookmarkEnd w:id="67"/>
    </w:p>
    <w:p w:rsidR="00CE2EDB" w:rsidRDefault="00CE2EDB" w:rsidP="00CE2EDB">
      <w:pPr>
        <w:pStyle w:val="Heading2"/>
      </w:pPr>
      <w:r>
        <w:t>Currency Handling</w:t>
      </w:r>
    </w:p>
    <w:p w:rsidR="00CE2EDB" w:rsidRDefault="00CE2EDB" w:rsidP="00CE2EDB">
      <w:pPr>
        <w:pStyle w:val="ListParagraph"/>
        <w:numPr>
          <w:ilvl w:val="0"/>
          <w:numId w:val="32"/>
        </w:numPr>
      </w:pPr>
      <w:r w:rsidRPr="00CE2EDB">
        <w:rPr>
          <w:b/>
        </w:rPr>
        <w:t>Primary Reporting Currency:</w:t>
      </w:r>
      <w:r>
        <w:t xml:space="preserve"> The system shall use the Turkish Lira (TRY) as the primary currency for all final tax liability calculations and reporting, as required by Turkish tax law.</w:t>
      </w:r>
    </w:p>
    <w:p w:rsidR="00CE2EDB" w:rsidRDefault="00CE2EDB" w:rsidP="00CE2EDB">
      <w:pPr>
        <w:pStyle w:val="ListParagraph"/>
      </w:pPr>
    </w:p>
    <w:p w:rsidR="00CE2EDB" w:rsidRDefault="00CE2EDB" w:rsidP="00CE2EDB">
      <w:pPr>
        <w:pStyle w:val="ListParagraph"/>
        <w:numPr>
          <w:ilvl w:val="0"/>
          <w:numId w:val="32"/>
        </w:numPr>
      </w:pPr>
      <w:r w:rsidRPr="00CE2EDB">
        <w:rPr>
          <w:b/>
        </w:rPr>
        <w:t>Foreign Currency Support:</w:t>
      </w:r>
      <w:r>
        <w:t xml:space="preserve"> The engine must support the ingestion of transactions in foreign currencies (primarily USD and EUR) and provide a mechanism to convert these amounts to TRY using historical CBRT (TCMB) rates.</w:t>
      </w:r>
    </w:p>
    <w:p w:rsidR="00CE2EDB" w:rsidRPr="00CE2EDB" w:rsidRDefault="00CE2EDB" w:rsidP="00CE2EDB"/>
    <w:p w:rsidR="00CE2EDB" w:rsidRDefault="00D90AA9" w:rsidP="00CE2EDB">
      <w:pPr>
        <w:pStyle w:val="Heading2"/>
      </w:pPr>
      <w:r>
        <w:t>Language and Terminology</w:t>
      </w:r>
    </w:p>
    <w:p w:rsidR="00D90AA9" w:rsidRDefault="00D90AA9" w:rsidP="00D90AA9">
      <w:pPr>
        <w:pStyle w:val="ListParagraph"/>
        <w:numPr>
          <w:ilvl w:val="0"/>
          <w:numId w:val="34"/>
        </w:numPr>
      </w:pPr>
      <w:r w:rsidRPr="00D90AA9">
        <w:rPr>
          <w:b/>
        </w:rPr>
        <w:t>Bilingual Support:</w:t>
      </w:r>
      <w:r>
        <w:t xml:space="preserve"> The system’s documentation and report headers shall be available in both English and Turkish to accommodate the developer's academic background and the local regulatory environment.</w:t>
      </w:r>
    </w:p>
    <w:p w:rsidR="00D90AA9" w:rsidRDefault="00D90AA9" w:rsidP="00D90AA9"/>
    <w:p w:rsidR="00D90AA9" w:rsidRDefault="00D90AA9" w:rsidP="00D90AA9"/>
    <w:p w:rsidR="00D90AA9" w:rsidRPr="00D90AA9" w:rsidRDefault="00D90AA9" w:rsidP="00D90AA9">
      <w:pPr>
        <w:pStyle w:val="ListParagraph"/>
        <w:numPr>
          <w:ilvl w:val="0"/>
          <w:numId w:val="34"/>
        </w:numPr>
      </w:pPr>
      <w:r w:rsidRPr="00D90AA9">
        <w:rPr>
          <w:b/>
        </w:rPr>
        <w:t>Legal Terminology:</w:t>
      </w:r>
      <w:r>
        <w:t xml:space="preserve"> Localization shall ensure that specific Turkish tax terms (e.g., "Değer Artış Kazancı," "Yİ-ÜFE Endekslemesi") are used accurately in reports to ensure compliance and clarity for local tax authorities.</w:t>
      </w:r>
    </w:p>
    <w:p w:rsidR="00CE2EDB" w:rsidRDefault="00D90AA9" w:rsidP="00CE2EDB">
      <w:pPr>
        <w:pStyle w:val="Heading2"/>
      </w:pPr>
      <w:r>
        <w:t>Date Formatting</w:t>
      </w:r>
    </w:p>
    <w:p w:rsidR="00CE2EDB" w:rsidRPr="00CE2EDB" w:rsidRDefault="00D90AA9" w:rsidP="00CE2EDB">
      <w:pPr>
        <w:pStyle w:val="ListParagraph"/>
        <w:numPr>
          <w:ilvl w:val="0"/>
          <w:numId w:val="35"/>
        </w:numPr>
      </w:pPr>
      <w:r w:rsidRPr="00D90AA9">
        <w:rPr>
          <w:b/>
        </w:rPr>
        <w:t>Date Formats:</w:t>
      </w:r>
      <w:r w:rsidRPr="00D90AA9">
        <w:t xml:space="preserve"> The system shall support common international date formats (e.g., YYYY-MM-DD) for data processing while allowing localized formats (e.g., DD.MM.YYYY) for generated reports.</w:t>
      </w:r>
    </w:p>
    <w:p w:rsidR="00310C4B" w:rsidRDefault="00310C4B" w:rsidP="00870007">
      <w:pPr>
        <w:pStyle w:val="Heading1"/>
      </w:pPr>
      <w:bookmarkStart w:id="69" w:name="_Toc221813183"/>
      <w:r w:rsidRPr="005F23D7">
        <w:lastRenderedPageBreak/>
        <w:t>Other Requirements</w:t>
      </w:r>
      <w:bookmarkEnd w:id="68"/>
      <w:bookmarkEnd w:id="69"/>
    </w:p>
    <w:p w:rsidR="00870007" w:rsidRDefault="00870007" w:rsidP="00870007">
      <w:pPr>
        <w:pStyle w:val="Heading2"/>
      </w:pPr>
      <w:r>
        <w:t>Legal and Regulatory Compliance</w:t>
      </w:r>
    </w:p>
    <w:p w:rsidR="00870007" w:rsidRPr="00870007" w:rsidRDefault="00870007" w:rsidP="00870007">
      <w:pPr>
        <w:rPr>
          <w:b/>
        </w:rPr>
      </w:pPr>
      <w:r w:rsidRPr="00870007">
        <w:t xml:space="preserve">The primary requirement of the </w:t>
      </w:r>
      <w:r w:rsidRPr="00870007">
        <w:rPr>
          <w:b/>
        </w:rPr>
        <w:t>TaxEngine</w:t>
      </w:r>
      <w:r w:rsidRPr="00870007">
        <w:t xml:space="preserve"> is strict adherence to the </w:t>
      </w:r>
      <w:r w:rsidRPr="00870007">
        <w:rPr>
          <w:b/>
        </w:rPr>
        <w:t>Turkish Income Tax Law (GVK).</w:t>
      </w:r>
    </w:p>
    <w:p w:rsidR="00870007" w:rsidRDefault="00870007" w:rsidP="00870007">
      <w:pPr>
        <w:pStyle w:val="NormalWeb"/>
        <w:numPr>
          <w:ilvl w:val="0"/>
          <w:numId w:val="35"/>
        </w:numPr>
      </w:pPr>
      <w:r>
        <w:rPr>
          <w:rStyle w:val="citation-432"/>
          <w:b/>
          <w:bCs/>
        </w:rPr>
        <w:t>Statutory Compliance:</w:t>
      </w:r>
      <w:r>
        <w:rPr>
          <w:rStyle w:val="citation-432"/>
        </w:rPr>
        <w:t xml:space="preserve"> All calculation logic must be updated annually to reflect the latest thresholds (e.g., the 18,000 TL dividend exemption for 2025) and tax brackets issued by the Revenue Administration (GİB)</w:t>
      </w:r>
      <w:r>
        <w:t>.</w:t>
      </w:r>
    </w:p>
    <w:p w:rsidR="00870007" w:rsidRPr="00870007" w:rsidRDefault="00870007" w:rsidP="00870007">
      <w:pPr>
        <w:pStyle w:val="NormalWeb"/>
        <w:numPr>
          <w:ilvl w:val="0"/>
          <w:numId w:val="35"/>
        </w:numPr>
      </w:pPr>
      <w:r>
        <w:rPr>
          <w:rStyle w:val="citation-431"/>
          <w:b/>
          <w:bCs/>
        </w:rPr>
        <w:t>Financial Standards:</w:t>
      </w:r>
      <w:r>
        <w:rPr>
          <w:rStyle w:val="citation-431"/>
        </w:rPr>
        <w:t xml:space="preserve"> The engine must follow the </w:t>
      </w:r>
      <w:r>
        <w:rPr>
          <w:rStyle w:val="citation-431"/>
          <w:b/>
          <w:bCs/>
        </w:rPr>
        <w:t>Tax Procedure Law (VUK)</w:t>
      </w:r>
      <w:r>
        <w:rPr>
          <w:rStyle w:val="citation-431"/>
        </w:rPr>
        <w:t xml:space="preserve"> regarding cost basis adjustments and the utilization of official TCMB exchange rates</w:t>
      </w:r>
      <w:r>
        <w:t>.</w:t>
      </w:r>
    </w:p>
    <w:p w:rsidR="00870007" w:rsidRDefault="00870007" w:rsidP="00870007">
      <w:pPr>
        <w:pStyle w:val="Heading2"/>
      </w:pPr>
      <w:r>
        <w:t>Logging and Audit Trail</w:t>
      </w:r>
    </w:p>
    <w:p w:rsidR="00870007" w:rsidRDefault="00870007" w:rsidP="00870007">
      <w:pPr>
        <w:pStyle w:val="NormalWeb"/>
      </w:pPr>
      <w:r>
        <w:rPr>
          <w:rStyle w:val="citation-430"/>
        </w:rPr>
        <w:t>To ensure transparency in financial reporting, the system must maintain detailed logs of its operations</w:t>
      </w:r>
      <w:r>
        <w:t>.</w:t>
      </w:r>
    </w:p>
    <w:p w:rsidR="00870007" w:rsidRDefault="00870007" w:rsidP="00870007">
      <w:pPr>
        <w:pStyle w:val="NormalWeb"/>
        <w:numPr>
          <w:ilvl w:val="0"/>
          <w:numId w:val="36"/>
        </w:numPr>
      </w:pPr>
      <w:r>
        <w:rPr>
          <w:rStyle w:val="citation-429"/>
          <w:b/>
          <w:bCs/>
        </w:rPr>
        <w:t>Execution Logs:</w:t>
      </w:r>
      <w:r>
        <w:rPr>
          <w:rStyle w:val="citation-429"/>
        </w:rPr>
        <w:t xml:space="preserve"> The system shall log the start time, end time, and status of every calculation run</w:t>
      </w:r>
      <w:r>
        <w:t>.</w:t>
      </w:r>
    </w:p>
    <w:p w:rsidR="00870007" w:rsidRDefault="00870007" w:rsidP="00870007">
      <w:pPr>
        <w:pStyle w:val="NormalWeb"/>
        <w:numPr>
          <w:ilvl w:val="0"/>
          <w:numId w:val="36"/>
        </w:numPr>
      </w:pPr>
      <w:r>
        <w:rPr>
          <w:rStyle w:val="citation-428"/>
          <w:b/>
          <w:bCs/>
        </w:rPr>
        <w:t>Traceability:</w:t>
      </w:r>
      <w:r>
        <w:rPr>
          <w:rStyle w:val="citation-428"/>
        </w:rPr>
        <w:t xml:space="preserve"> Every matched FIFO lot must be logged with its original transaction ID and the specific indexing factor applied, providing a clear audit trail for tax verification</w:t>
      </w:r>
      <w:r>
        <w:t>.</w:t>
      </w:r>
    </w:p>
    <w:p w:rsidR="00870007" w:rsidRPr="00870007" w:rsidRDefault="00870007" w:rsidP="00870007">
      <w:pPr>
        <w:pStyle w:val="NormalWeb"/>
        <w:numPr>
          <w:ilvl w:val="0"/>
          <w:numId w:val="36"/>
        </w:numPr>
      </w:pPr>
      <w:r>
        <w:rPr>
          <w:rStyle w:val="citation-427"/>
          <w:b/>
          <w:bCs/>
        </w:rPr>
        <w:t>Error Logging:</w:t>
      </w:r>
      <w:r>
        <w:rPr>
          <w:rStyle w:val="citation-427"/>
        </w:rPr>
        <w:t xml:space="preserve"> All data validation failures, such as missing exchange rates for specific dates, must be recorded in a dedicated error log for troubleshooting</w:t>
      </w:r>
      <w:r>
        <w:t>.</w:t>
      </w:r>
    </w:p>
    <w:p w:rsidR="00870007" w:rsidRDefault="00870007" w:rsidP="00870007">
      <w:pPr>
        <w:pStyle w:val="Heading2"/>
      </w:pPr>
      <w:r>
        <w:t>Product Installation and Configuration</w:t>
      </w:r>
    </w:p>
    <w:p w:rsidR="00870007" w:rsidRDefault="00870007" w:rsidP="00870007">
      <w:pPr>
        <w:pStyle w:val="NormalWeb"/>
      </w:pPr>
      <w:r>
        <w:rPr>
          <w:rStyle w:val="citation-426"/>
        </w:rPr>
        <w:t xml:space="preserve">The </w:t>
      </w:r>
      <w:r>
        <w:rPr>
          <w:rStyle w:val="citation-426"/>
          <w:b/>
          <w:bCs/>
        </w:rPr>
        <w:t>TaxEngine</w:t>
      </w:r>
      <w:r>
        <w:rPr>
          <w:rStyle w:val="citation-426"/>
        </w:rPr>
        <w:t xml:space="preserve"> is designed for easy deployment within a development or analyst environment</w:t>
      </w:r>
      <w:r>
        <w:t>.</w:t>
      </w:r>
    </w:p>
    <w:p w:rsidR="00870007" w:rsidRDefault="00870007" w:rsidP="00870007">
      <w:pPr>
        <w:pStyle w:val="NormalWeb"/>
        <w:numPr>
          <w:ilvl w:val="0"/>
          <w:numId w:val="37"/>
        </w:numPr>
      </w:pPr>
      <w:r>
        <w:rPr>
          <w:rStyle w:val="citation-425"/>
          <w:b/>
          <w:bCs/>
        </w:rPr>
        <w:t>Configuration Management:</w:t>
      </w:r>
      <w:r>
        <w:rPr>
          <w:rStyle w:val="citation-425"/>
        </w:rPr>
        <w:t xml:space="preserve"> Tax brackets, WPI (Yİ-ÜFE) indices, and other variable parameters must be stored in external configuration files (e.g., </w:t>
      </w:r>
      <w:r>
        <w:rPr>
          <w:rStyle w:val="citation-425"/>
          <w:rFonts w:ascii="Courier New" w:hAnsi="Courier New" w:cs="Courier New"/>
          <w:sz w:val="20"/>
          <w:szCs w:val="20"/>
        </w:rPr>
        <w:t>.yaml</w:t>
      </w:r>
      <w:r>
        <w:rPr>
          <w:rStyle w:val="citation-425"/>
        </w:rPr>
        <w:t xml:space="preserve"> or </w:t>
      </w:r>
      <w:r>
        <w:rPr>
          <w:rStyle w:val="citation-425"/>
          <w:rFonts w:ascii="Courier New" w:hAnsi="Courier New" w:cs="Courier New"/>
          <w:sz w:val="20"/>
          <w:szCs w:val="20"/>
        </w:rPr>
        <w:t>.json</w:t>
      </w:r>
      <w:r>
        <w:rPr>
          <w:rStyle w:val="citation-425"/>
        </w:rPr>
        <w:t>) to allow updates without recompiling the source code</w:t>
      </w:r>
      <w:r>
        <w:t>.</w:t>
      </w:r>
    </w:p>
    <w:p w:rsidR="00870007" w:rsidRPr="00870007" w:rsidRDefault="00870007" w:rsidP="00870007">
      <w:pPr>
        <w:pStyle w:val="NormalWeb"/>
        <w:numPr>
          <w:ilvl w:val="0"/>
          <w:numId w:val="37"/>
        </w:numPr>
      </w:pPr>
      <w:r>
        <w:rPr>
          <w:rStyle w:val="citation-424"/>
          <w:b/>
          <w:bCs/>
        </w:rPr>
        <w:t>Startup Procedure:</w:t>
      </w:r>
      <w:r>
        <w:rPr>
          <w:rStyle w:val="citation-424"/>
        </w:rPr>
        <w:t xml:space="preserve"> The software shall include a startup check to verify that all required reference data files (TCMB and TÜİK datasets) are present and readable</w:t>
      </w:r>
      <w:r>
        <w:t>.</w:t>
      </w:r>
    </w:p>
    <w:p w:rsidR="00870007" w:rsidRDefault="00870007" w:rsidP="00870007">
      <w:pPr>
        <w:pStyle w:val="Heading2"/>
      </w:pPr>
      <w:r>
        <w:t>Maintainability and Standards</w:t>
      </w:r>
    </w:p>
    <w:p w:rsidR="00870007" w:rsidRDefault="00870007" w:rsidP="00870007">
      <w:pPr>
        <w:pStyle w:val="NormalWeb"/>
      </w:pPr>
      <w:r>
        <w:rPr>
          <w:rStyle w:val="citation-423"/>
        </w:rPr>
        <w:t>As a PoC intended for potential corporate integration, the codebase must meet professional standards</w:t>
      </w:r>
      <w:r>
        <w:t>.</w:t>
      </w:r>
    </w:p>
    <w:p w:rsidR="00870007" w:rsidRDefault="00870007" w:rsidP="00870007">
      <w:pPr>
        <w:pStyle w:val="NormalWeb"/>
        <w:numPr>
          <w:ilvl w:val="0"/>
          <w:numId w:val="38"/>
        </w:numPr>
      </w:pPr>
      <w:r>
        <w:rPr>
          <w:rStyle w:val="citation-422"/>
          <w:b/>
          <w:bCs/>
        </w:rPr>
        <w:t>Code Quality:</w:t>
      </w:r>
      <w:r>
        <w:rPr>
          <w:rStyle w:val="citation-422"/>
        </w:rPr>
        <w:t xml:space="preserve"> The Python source code shall follow </w:t>
      </w:r>
      <w:r>
        <w:rPr>
          <w:rStyle w:val="citation-422"/>
          <w:b/>
          <w:bCs/>
        </w:rPr>
        <w:t>PEP 8</w:t>
      </w:r>
      <w:r>
        <w:rPr>
          <w:rStyle w:val="citation-422"/>
        </w:rPr>
        <w:t xml:space="preserve"> style guidelines to ensure readability for the brokerage firm’s engineering teams</w:t>
      </w:r>
      <w:r>
        <w:t>.</w:t>
      </w:r>
    </w:p>
    <w:p w:rsidR="00870007" w:rsidRPr="00870007" w:rsidRDefault="00870007" w:rsidP="00870007">
      <w:pPr>
        <w:pStyle w:val="NormalWeb"/>
        <w:numPr>
          <w:ilvl w:val="0"/>
          <w:numId w:val="38"/>
        </w:numPr>
      </w:pPr>
      <w:r>
        <w:rPr>
          <w:rStyle w:val="citation-421"/>
          <w:b/>
          <w:bCs/>
        </w:rPr>
        <w:t>Modularity:</w:t>
      </w:r>
      <w:r>
        <w:rPr>
          <w:rStyle w:val="citation-421"/>
        </w:rPr>
        <w:t xml:space="preserve"> The system must be structured into independent modules (e.g., </w:t>
      </w:r>
      <w:r w:rsidRPr="00870007">
        <w:rPr>
          <w:rStyle w:val="citation-421"/>
          <w:sz w:val="20"/>
          <w:szCs w:val="20"/>
        </w:rPr>
        <w:t>TaxEngine</w:t>
      </w:r>
      <w:r w:rsidRPr="00870007">
        <w:rPr>
          <w:rStyle w:val="citation-421"/>
        </w:rPr>
        <w:t xml:space="preserve">, </w:t>
      </w:r>
      <w:r w:rsidRPr="00870007">
        <w:rPr>
          <w:rStyle w:val="citation-421"/>
          <w:sz w:val="20"/>
          <w:szCs w:val="20"/>
        </w:rPr>
        <w:t>DataLoader</w:t>
      </w:r>
      <w:r w:rsidRPr="00870007">
        <w:rPr>
          <w:rStyle w:val="citation-421"/>
        </w:rPr>
        <w:t xml:space="preserve">, </w:t>
      </w:r>
      <w:r w:rsidRPr="00870007">
        <w:rPr>
          <w:rStyle w:val="citation-421"/>
          <w:sz w:val="20"/>
          <w:szCs w:val="20"/>
        </w:rPr>
        <w:t>Reporter</w:t>
      </w:r>
      <w:r>
        <w:rPr>
          <w:rStyle w:val="citation-421"/>
        </w:rPr>
        <w:t>) to facilitate future migration from a CLI tool to a cloud-based microservice</w:t>
      </w:r>
      <w:r>
        <w:t>.</w:t>
      </w:r>
    </w:p>
    <w:p w:rsidR="00310C4B" w:rsidRDefault="00310C4B" w:rsidP="00870007">
      <w:pPr>
        <w:pStyle w:val="TOCEntry"/>
      </w:pPr>
      <w:bookmarkStart w:id="70" w:name="_Toc439994696"/>
      <w:bookmarkStart w:id="71" w:name="_Toc221813184"/>
      <w:r w:rsidRPr="005F23D7">
        <w:lastRenderedPageBreak/>
        <w:t>Appendix A: Glossary</w:t>
      </w:r>
      <w:bookmarkEnd w:id="70"/>
      <w:bookmarkEnd w:id="71"/>
    </w:p>
    <w:tbl>
      <w:tblPr>
        <w:tblStyle w:val="TableGrid"/>
        <w:tblW w:w="9918" w:type="dxa"/>
        <w:tblLook w:val="04A0" w:firstRow="1" w:lastRow="0" w:firstColumn="1" w:lastColumn="0" w:noHBand="0" w:noVBand="1"/>
      </w:tblPr>
      <w:tblGrid>
        <w:gridCol w:w="2192"/>
        <w:gridCol w:w="7726"/>
      </w:tblGrid>
      <w:tr w:rsidR="00870007" w:rsidTr="00870007">
        <w:trPr>
          <w:trHeight w:val="432"/>
        </w:trPr>
        <w:tc>
          <w:tcPr>
            <w:tcW w:w="2192" w:type="dxa"/>
          </w:tcPr>
          <w:p w:rsidR="00870007" w:rsidRPr="00ED30A5" w:rsidRDefault="00ED30A5" w:rsidP="00ED30A5">
            <w:pPr>
              <w:pStyle w:val="TOCEntry"/>
              <w:jc w:val="center"/>
              <w:rPr>
                <w:sz w:val="24"/>
                <w:szCs w:val="24"/>
              </w:rPr>
            </w:pPr>
            <w:r w:rsidRPr="00ED30A5">
              <w:rPr>
                <w:sz w:val="24"/>
                <w:szCs w:val="24"/>
              </w:rPr>
              <w:t>Term / Acronym</w:t>
            </w:r>
          </w:p>
        </w:tc>
        <w:tc>
          <w:tcPr>
            <w:tcW w:w="7726" w:type="dxa"/>
          </w:tcPr>
          <w:p w:rsidR="00870007" w:rsidRPr="00ED30A5" w:rsidRDefault="00ED30A5" w:rsidP="00ED30A5">
            <w:pPr>
              <w:pStyle w:val="TOCEntry"/>
              <w:jc w:val="center"/>
              <w:rPr>
                <w:sz w:val="24"/>
                <w:szCs w:val="24"/>
              </w:rPr>
            </w:pPr>
            <w:r w:rsidRPr="00ED30A5">
              <w:rPr>
                <w:sz w:val="24"/>
                <w:szCs w:val="24"/>
              </w:rPr>
              <w:t>Definition</w:t>
            </w:r>
          </w:p>
        </w:tc>
      </w:tr>
      <w:tr w:rsidR="00870007" w:rsidTr="00870007">
        <w:trPr>
          <w:trHeight w:val="432"/>
        </w:trPr>
        <w:tc>
          <w:tcPr>
            <w:tcW w:w="2192" w:type="dxa"/>
          </w:tcPr>
          <w:p w:rsidR="00870007" w:rsidRPr="00ED30A5" w:rsidRDefault="00ED30A5" w:rsidP="00870007">
            <w:pPr>
              <w:pStyle w:val="TOCEntry"/>
              <w:rPr>
                <w:sz w:val="24"/>
                <w:szCs w:val="24"/>
              </w:rPr>
            </w:pPr>
            <w:r w:rsidRPr="00ED30A5">
              <w:rPr>
                <w:sz w:val="24"/>
                <w:szCs w:val="24"/>
              </w:rPr>
              <w:t>CBRT (TCMB)</w:t>
            </w:r>
          </w:p>
        </w:tc>
        <w:tc>
          <w:tcPr>
            <w:tcW w:w="7726" w:type="dxa"/>
          </w:tcPr>
          <w:p w:rsidR="00870007" w:rsidRPr="00ED30A5" w:rsidRDefault="00ED30A5" w:rsidP="00870007">
            <w:pPr>
              <w:pStyle w:val="TOCEntry"/>
              <w:rPr>
                <w:sz w:val="24"/>
                <w:szCs w:val="24"/>
              </w:rPr>
            </w:pPr>
            <w:r w:rsidRPr="00ED30A5">
              <w:rPr>
                <w:b w:val="0"/>
                <w:bCs/>
                <w:sz w:val="24"/>
                <w:szCs w:val="24"/>
              </w:rPr>
              <w:t>Central Bank of the Republic of Türkiye.</w:t>
            </w:r>
            <w:r w:rsidRPr="00ED30A5">
              <w:rPr>
                <w:sz w:val="24"/>
                <w:szCs w:val="24"/>
              </w:rPr>
              <w:t xml:space="preserve"> The source for the official "Indicative Foreign Exchange Buying Rates" used for currency conversion.</w:t>
            </w:r>
          </w:p>
        </w:tc>
      </w:tr>
      <w:tr w:rsidR="00870007" w:rsidTr="00870007">
        <w:trPr>
          <w:trHeight w:val="432"/>
        </w:trPr>
        <w:tc>
          <w:tcPr>
            <w:tcW w:w="2192" w:type="dxa"/>
          </w:tcPr>
          <w:p w:rsidR="00870007" w:rsidRPr="00ED30A5" w:rsidRDefault="00ED30A5" w:rsidP="00870007">
            <w:pPr>
              <w:pStyle w:val="TOCEntry"/>
              <w:rPr>
                <w:sz w:val="24"/>
                <w:szCs w:val="24"/>
              </w:rPr>
            </w:pPr>
            <w:r w:rsidRPr="00ED30A5">
              <w:rPr>
                <w:sz w:val="24"/>
                <w:szCs w:val="24"/>
              </w:rPr>
              <w:t>Capital Gain</w:t>
            </w:r>
          </w:p>
        </w:tc>
        <w:tc>
          <w:tcPr>
            <w:tcW w:w="7726" w:type="dxa"/>
          </w:tcPr>
          <w:p w:rsidR="00870007" w:rsidRPr="00ED30A5" w:rsidRDefault="00ED30A5" w:rsidP="00870007">
            <w:pPr>
              <w:pStyle w:val="TOCEntry"/>
              <w:rPr>
                <w:sz w:val="24"/>
                <w:szCs w:val="24"/>
              </w:rPr>
            </w:pPr>
            <w:r w:rsidRPr="00ED30A5">
              <w:rPr>
                <w:sz w:val="24"/>
                <w:szCs w:val="24"/>
              </w:rPr>
              <w:t>The profit realized from the sale of a foreign stock, calculated as the difference between the sale price and the adjusted cost basis.</w:t>
            </w:r>
          </w:p>
        </w:tc>
      </w:tr>
      <w:tr w:rsidR="00870007" w:rsidTr="00870007">
        <w:trPr>
          <w:trHeight w:val="432"/>
        </w:trPr>
        <w:tc>
          <w:tcPr>
            <w:tcW w:w="2192" w:type="dxa"/>
          </w:tcPr>
          <w:p w:rsidR="00870007" w:rsidRPr="00ED30A5" w:rsidRDefault="00ED30A5" w:rsidP="00870007">
            <w:pPr>
              <w:pStyle w:val="TOCEntry"/>
              <w:rPr>
                <w:sz w:val="24"/>
                <w:szCs w:val="24"/>
              </w:rPr>
            </w:pPr>
            <w:r w:rsidRPr="00ED30A5">
              <w:rPr>
                <w:sz w:val="24"/>
                <w:szCs w:val="24"/>
              </w:rPr>
              <w:t>FIFO</w:t>
            </w:r>
          </w:p>
        </w:tc>
        <w:tc>
          <w:tcPr>
            <w:tcW w:w="7726" w:type="dxa"/>
          </w:tcPr>
          <w:p w:rsidR="00870007" w:rsidRPr="00ED30A5" w:rsidRDefault="00ED30A5" w:rsidP="00870007">
            <w:pPr>
              <w:pStyle w:val="TOCEntry"/>
              <w:rPr>
                <w:sz w:val="24"/>
                <w:szCs w:val="24"/>
              </w:rPr>
            </w:pPr>
            <w:r w:rsidRPr="00ED30A5">
              <w:rPr>
                <w:b w:val="0"/>
                <w:bCs/>
                <w:sz w:val="24"/>
                <w:szCs w:val="24"/>
              </w:rPr>
              <w:t>First-In, First-Out.</w:t>
            </w:r>
            <w:r w:rsidRPr="00ED30A5">
              <w:rPr>
                <w:sz w:val="24"/>
                <w:szCs w:val="24"/>
              </w:rPr>
              <w:t xml:space="preserve"> An inventory valuation method where the first shares purchased are assumed to be the first ones sold for tax matching purposes.</w:t>
            </w:r>
          </w:p>
        </w:tc>
      </w:tr>
      <w:tr w:rsidR="00870007" w:rsidTr="00870007">
        <w:trPr>
          <w:trHeight w:val="432"/>
        </w:trPr>
        <w:tc>
          <w:tcPr>
            <w:tcW w:w="2192" w:type="dxa"/>
          </w:tcPr>
          <w:p w:rsidR="00870007" w:rsidRPr="00ED30A5" w:rsidRDefault="00ED30A5" w:rsidP="00870007">
            <w:pPr>
              <w:pStyle w:val="TOCEntry"/>
              <w:rPr>
                <w:sz w:val="24"/>
                <w:szCs w:val="24"/>
              </w:rPr>
            </w:pPr>
            <w:r w:rsidRPr="00ED30A5">
              <w:rPr>
                <w:sz w:val="24"/>
                <w:szCs w:val="24"/>
              </w:rPr>
              <w:t>GVK</w:t>
            </w:r>
          </w:p>
        </w:tc>
        <w:tc>
          <w:tcPr>
            <w:tcW w:w="7726" w:type="dxa"/>
          </w:tcPr>
          <w:p w:rsidR="00870007" w:rsidRPr="00ED30A5" w:rsidRDefault="00ED30A5" w:rsidP="00870007">
            <w:pPr>
              <w:pStyle w:val="TOCEntry"/>
              <w:rPr>
                <w:sz w:val="24"/>
                <w:szCs w:val="24"/>
              </w:rPr>
            </w:pPr>
            <w:r w:rsidRPr="00ED30A5">
              <w:rPr>
                <w:b w:val="0"/>
                <w:bCs/>
                <w:sz w:val="24"/>
                <w:szCs w:val="24"/>
              </w:rPr>
              <w:t>Gelir Vergisi Kanunu (Income Tax Law).</w:t>
            </w:r>
            <w:r w:rsidRPr="00ED30A5">
              <w:rPr>
                <w:sz w:val="24"/>
                <w:szCs w:val="24"/>
              </w:rPr>
              <w:t xml:space="preserve"> Specifically referring to Duplicate Articles 80 and 81 which govern capital gains for full taxpayers in Türkiye.</w:t>
            </w:r>
          </w:p>
        </w:tc>
      </w:tr>
      <w:tr w:rsidR="00870007" w:rsidTr="00870007">
        <w:trPr>
          <w:trHeight w:val="432"/>
        </w:trPr>
        <w:tc>
          <w:tcPr>
            <w:tcW w:w="2192" w:type="dxa"/>
          </w:tcPr>
          <w:p w:rsidR="00870007" w:rsidRPr="00ED30A5" w:rsidRDefault="00ED30A5" w:rsidP="00870007">
            <w:pPr>
              <w:pStyle w:val="TOCEntry"/>
              <w:rPr>
                <w:sz w:val="24"/>
                <w:szCs w:val="24"/>
              </w:rPr>
            </w:pPr>
            <w:r w:rsidRPr="00ED30A5">
              <w:rPr>
                <w:sz w:val="24"/>
                <w:szCs w:val="24"/>
              </w:rPr>
              <w:t>Indexing</w:t>
            </w:r>
          </w:p>
        </w:tc>
        <w:tc>
          <w:tcPr>
            <w:tcW w:w="7726" w:type="dxa"/>
          </w:tcPr>
          <w:p w:rsidR="00870007" w:rsidRPr="00ED30A5" w:rsidRDefault="00ED30A5" w:rsidP="00870007">
            <w:pPr>
              <w:pStyle w:val="TOCEntry"/>
              <w:rPr>
                <w:sz w:val="24"/>
                <w:szCs w:val="24"/>
              </w:rPr>
            </w:pPr>
            <w:r w:rsidRPr="00ED30A5">
              <w:rPr>
                <w:sz w:val="24"/>
                <w:szCs w:val="24"/>
              </w:rPr>
              <w:t>The process of adjusting the cost basis of a stock to account for inflation, permitted under Turkish law if the WPI increase exceeds 10%.</w:t>
            </w:r>
          </w:p>
        </w:tc>
      </w:tr>
      <w:tr w:rsidR="00870007" w:rsidTr="00870007">
        <w:trPr>
          <w:trHeight w:val="432"/>
        </w:trPr>
        <w:tc>
          <w:tcPr>
            <w:tcW w:w="2192" w:type="dxa"/>
          </w:tcPr>
          <w:p w:rsidR="00870007" w:rsidRPr="00ED30A5" w:rsidRDefault="00ED30A5" w:rsidP="00870007">
            <w:pPr>
              <w:pStyle w:val="TOCEntry"/>
              <w:rPr>
                <w:sz w:val="24"/>
                <w:szCs w:val="24"/>
              </w:rPr>
            </w:pPr>
            <w:r w:rsidRPr="00ED30A5">
              <w:rPr>
                <w:sz w:val="24"/>
                <w:szCs w:val="24"/>
              </w:rPr>
              <w:t>MVP / PoC</w:t>
            </w:r>
          </w:p>
        </w:tc>
        <w:tc>
          <w:tcPr>
            <w:tcW w:w="7726" w:type="dxa"/>
          </w:tcPr>
          <w:p w:rsidR="00870007" w:rsidRPr="00ED30A5" w:rsidRDefault="00ED30A5" w:rsidP="00870007">
            <w:pPr>
              <w:pStyle w:val="TOCEntry"/>
              <w:rPr>
                <w:sz w:val="24"/>
                <w:szCs w:val="24"/>
              </w:rPr>
            </w:pPr>
            <w:r w:rsidRPr="00ED30A5">
              <w:rPr>
                <w:b w:val="0"/>
                <w:bCs/>
                <w:sz w:val="24"/>
                <w:szCs w:val="24"/>
              </w:rPr>
              <w:t>Minimum Viable Product / Proof of Concept.</w:t>
            </w:r>
            <w:r w:rsidRPr="00ED30A5">
              <w:rPr>
                <w:sz w:val="24"/>
                <w:szCs w:val="24"/>
              </w:rPr>
              <w:t xml:space="preserve"> A version of the software with just enough features to satisfy early customers and prove the feasibility of the technical solution.</w:t>
            </w:r>
          </w:p>
        </w:tc>
      </w:tr>
      <w:tr w:rsidR="00870007" w:rsidTr="00870007">
        <w:trPr>
          <w:trHeight w:val="432"/>
        </w:trPr>
        <w:tc>
          <w:tcPr>
            <w:tcW w:w="2192" w:type="dxa"/>
          </w:tcPr>
          <w:p w:rsidR="00870007" w:rsidRPr="00ED30A5" w:rsidRDefault="00ED30A5" w:rsidP="00870007">
            <w:pPr>
              <w:pStyle w:val="TOCEntry"/>
              <w:rPr>
                <w:sz w:val="24"/>
                <w:szCs w:val="24"/>
              </w:rPr>
            </w:pPr>
            <w:r w:rsidRPr="00ED30A5">
              <w:rPr>
                <w:sz w:val="24"/>
                <w:szCs w:val="24"/>
              </w:rPr>
              <w:t>PEP 8</w:t>
            </w:r>
          </w:p>
        </w:tc>
        <w:tc>
          <w:tcPr>
            <w:tcW w:w="7726" w:type="dxa"/>
          </w:tcPr>
          <w:p w:rsidR="00870007" w:rsidRPr="00ED30A5" w:rsidRDefault="00ED30A5" w:rsidP="00870007">
            <w:pPr>
              <w:pStyle w:val="TOCEntry"/>
              <w:rPr>
                <w:sz w:val="24"/>
                <w:szCs w:val="24"/>
              </w:rPr>
            </w:pPr>
            <w:r w:rsidRPr="00ED30A5">
              <w:rPr>
                <w:b w:val="0"/>
                <w:bCs/>
                <w:sz w:val="24"/>
                <w:szCs w:val="24"/>
              </w:rPr>
              <w:t>Python Enhancement Proposal 8.</w:t>
            </w:r>
            <w:r w:rsidRPr="00ED30A5">
              <w:rPr>
                <w:sz w:val="24"/>
                <w:szCs w:val="24"/>
              </w:rPr>
              <w:t xml:space="preserve"> The official style guide for Python code, ensuring the project meets professional engineering standards.</w:t>
            </w:r>
          </w:p>
        </w:tc>
      </w:tr>
      <w:tr w:rsidR="00870007" w:rsidTr="00870007">
        <w:trPr>
          <w:trHeight w:val="432"/>
        </w:trPr>
        <w:tc>
          <w:tcPr>
            <w:tcW w:w="2192" w:type="dxa"/>
          </w:tcPr>
          <w:p w:rsidR="00870007" w:rsidRPr="00ED30A5" w:rsidRDefault="00ED30A5" w:rsidP="00870007">
            <w:pPr>
              <w:pStyle w:val="TOCEntry"/>
              <w:rPr>
                <w:sz w:val="24"/>
                <w:szCs w:val="24"/>
              </w:rPr>
            </w:pPr>
            <w:r w:rsidRPr="00ED30A5">
              <w:rPr>
                <w:sz w:val="24"/>
                <w:szCs w:val="24"/>
              </w:rPr>
              <w:t>Taxable Base</w:t>
            </w:r>
          </w:p>
        </w:tc>
        <w:tc>
          <w:tcPr>
            <w:tcW w:w="7726" w:type="dxa"/>
          </w:tcPr>
          <w:p w:rsidR="00870007" w:rsidRPr="00ED30A5" w:rsidRDefault="00ED30A5" w:rsidP="00870007">
            <w:pPr>
              <w:pStyle w:val="TOCEntry"/>
              <w:rPr>
                <w:sz w:val="24"/>
                <w:szCs w:val="24"/>
              </w:rPr>
            </w:pPr>
            <w:r w:rsidRPr="00ED30A5">
              <w:rPr>
                <w:sz w:val="24"/>
                <w:szCs w:val="24"/>
              </w:rPr>
              <w:t>The net amount of income (Matrah) upon which the income tax is calculated after all deductions, indexing, and offsets are applied.</w:t>
            </w:r>
          </w:p>
        </w:tc>
      </w:tr>
      <w:tr w:rsidR="00870007" w:rsidTr="00870007">
        <w:trPr>
          <w:trHeight w:val="432"/>
        </w:trPr>
        <w:tc>
          <w:tcPr>
            <w:tcW w:w="2192" w:type="dxa"/>
          </w:tcPr>
          <w:p w:rsidR="00870007" w:rsidRPr="00ED30A5" w:rsidRDefault="00ED30A5" w:rsidP="00870007">
            <w:pPr>
              <w:pStyle w:val="TOCEntry"/>
              <w:rPr>
                <w:sz w:val="24"/>
                <w:szCs w:val="24"/>
              </w:rPr>
            </w:pPr>
            <w:r w:rsidRPr="00ED30A5">
              <w:rPr>
                <w:sz w:val="24"/>
                <w:szCs w:val="24"/>
              </w:rPr>
              <w:t>TURKSTAT (TÜİK)</w:t>
            </w:r>
          </w:p>
        </w:tc>
        <w:tc>
          <w:tcPr>
            <w:tcW w:w="7726" w:type="dxa"/>
          </w:tcPr>
          <w:p w:rsidR="00870007" w:rsidRPr="00ED30A5" w:rsidRDefault="00ED30A5" w:rsidP="00870007">
            <w:pPr>
              <w:pStyle w:val="TOCEntry"/>
              <w:rPr>
                <w:sz w:val="24"/>
                <w:szCs w:val="24"/>
              </w:rPr>
            </w:pPr>
            <w:r w:rsidRPr="00ED30A5">
              <w:rPr>
                <w:b w:val="0"/>
                <w:bCs/>
                <w:sz w:val="24"/>
                <w:szCs w:val="24"/>
              </w:rPr>
              <w:t>Turkish Statistical Institute.</w:t>
            </w:r>
            <w:r w:rsidRPr="00ED30A5">
              <w:rPr>
                <w:sz w:val="24"/>
                <w:szCs w:val="24"/>
              </w:rPr>
              <w:t xml:space="preserve"> The authority that provides the monthly Domestic Producer Price Index (Yİ-ÜFE) data.</w:t>
            </w:r>
          </w:p>
        </w:tc>
      </w:tr>
      <w:tr w:rsidR="00870007" w:rsidTr="00870007">
        <w:trPr>
          <w:trHeight w:val="432"/>
        </w:trPr>
        <w:tc>
          <w:tcPr>
            <w:tcW w:w="2192" w:type="dxa"/>
          </w:tcPr>
          <w:p w:rsidR="00870007" w:rsidRPr="00ED30A5" w:rsidRDefault="00ED30A5" w:rsidP="00ED30A5">
            <w:pPr>
              <w:pStyle w:val="TOCEntry"/>
              <w:rPr>
                <w:sz w:val="24"/>
                <w:szCs w:val="24"/>
              </w:rPr>
            </w:pPr>
            <w:r w:rsidRPr="00ED30A5">
              <w:rPr>
                <w:sz w:val="24"/>
                <w:szCs w:val="24"/>
              </w:rPr>
              <w:t>WPI (Yİ-ÜFE)</w:t>
            </w:r>
          </w:p>
        </w:tc>
        <w:tc>
          <w:tcPr>
            <w:tcW w:w="7726" w:type="dxa"/>
          </w:tcPr>
          <w:p w:rsidR="00870007" w:rsidRPr="00ED30A5" w:rsidRDefault="00ED30A5" w:rsidP="00ED30A5">
            <w:pPr>
              <w:pStyle w:val="TOCEntry"/>
              <w:rPr>
                <w:sz w:val="24"/>
                <w:szCs w:val="24"/>
              </w:rPr>
            </w:pPr>
            <w:r w:rsidRPr="00ED30A5">
              <w:rPr>
                <w:b w:val="0"/>
                <w:bCs/>
                <w:sz w:val="24"/>
                <w:szCs w:val="24"/>
              </w:rPr>
              <w:t>Wholesale Price Index (Yurt İçi Üretici Fiyat Endeksi).</w:t>
            </w:r>
            <w:r w:rsidRPr="00ED30A5">
              <w:rPr>
                <w:sz w:val="24"/>
                <w:szCs w:val="24"/>
              </w:rPr>
              <w:t xml:space="preserve"> The inflation metric used to determine if cost indexing is legally applicable to a transaction.</w:t>
            </w:r>
          </w:p>
        </w:tc>
      </w:tr>
    </w:tbl>
    <w:p w:rsidR="00870007" w:rsidRDefault="00870007" w:rsidP="00870007">
      <w:pPr>
        <w:pStyle w:val="TOCEntry"/>
      </w:pPr>
    </w:p>
    <w:p w:rsidR="00ED30A5" w:rsidRDefault="00ED30A5">
      <w:pPr>
        <w:pStyle w:val="TOCEntry"/>
      </w:pPr>
      <w:bookmarkStart w:id="72" w:name="_Toc439994697"/>
      <w:bookmarkStart w:id="73" w:name="_Toc221813185"/>
    </w:p>
    <w:p w:rsidR="00310C4B" w:rsidRDefault="00310C4B" w:rsidP="00ED30A5">
      <w:pPr>
        <w:pStyle w:val="TOCEntry"/>
      </w:pPr>
      <w:r w:rsidRPr="005F23D7">
        <w:lastRenderedPageBreak/>
        <w:t>Appendix B: Analysis Models</w:t>
      </w:r>
      <w:bookmarkEnd w:id="72"/>
      <w:bookmarkEnd w:id="73"/>
    </w:p>
    <w:p w:rsidR="00ED30A5" w:rsidRPr="00267B9E" w:rsidRDefault="00267B9E" w:rsidP="00267B9E">
      <w:pPr>
        <w:pStyle w:val="Heading1"/>
        <w:numPr>
          <w:ilvl w:val="0"/>
          <w:numId w:val="40"/>
        </w:numPr>
        <w:rPr>
          <w:sz w:val="28"/>
        </w:rPr>
      </w:pPr>
      <w:r>
        <w:rPr>
          <w:sz w:val="28"/>
        </w:rPr>
        <w:t>Feature Tree Diagram</w:t>
      </w:r>
    </w:p>
    <w:p w:rsidR="00ED30A5" w:rsidRDefault="00ED30A5" w:rsidP="00ED30A5">
      <w:pPr>
        <w:pStyle w:val="TOCEntry"/>
      </w:pPr>
      <w:r>
        <w:rPr>
          <w:noProof/>
        </w:rPr>
        <w:drawing>
          <wp:inline distT="0" distB="0" distL="0" distR="0">
            <wp:extent cx="6126480" cy="3804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eatureTree_TaxEngin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6480" cy="3804920"/>
                    </a:xfrm>
                    <a:prstGeom prst="rect">
                      <a:avLst/>
                    </a:prstGeom>
                  </pic:spPr>
                </pic:pic>
              </a:graphicData>
            </a:graphic>
          </wp:inline>
        </w:drawing>
      </w:r>
    </w:p>
    <w:p w:rsidR="00267B9E" w:rsidRPr="002C7FB1" w:rsidRDefault="00267B9E" w:rsidP="002C7FB1">
      <w:pPr>
        <w:pStyle w:val="TOCEntry"/>
        <w:numPr>
          <w:ilvl w:val="0"/>
          <w:numId w:val="40"/>
        </w:numPr>
        <w:rPr>
          <w:sz w:val="28"/>
        </w:rPr>
      </w:pPr>
      <w:r>
        <w:rPr>
          <w:sz w:val="28"/>
        </w:rPr>
        <w:t>Sequence Diagram</w:t>
      </w:r>
      <w:r w:rsidR="002C7FB1">
        <w:rPr>
          <w:noProof/>
          <w:sz w:val="28"/>
        </w:rPr>
        <w:drawing>
          <wp:inline distT="0" distB="0" distL="0" distR="0">
            <wp:extent cx="4932266" cy="3063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quenceDiagram_TaxEngin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36120" cy="3065634"/>
                    </a:xfrm>
                    <a:prstGeom prst="rect">
                      <a:avLst/>
                    </a:prstGeom>
                  </pic:spPr>
                </pic:pic>
              </a:graphicData>
            </a:graphic>
          </wp:inline>
        </w:drawing>
      </w:r>
    </w:p>
    <w:sectPr w:rsidR="00267B9E" w:rsidRPr="002C7FB1" w:rsidSect="00005920">
      <w:headerReference w:type="default" r:id="rId14"/>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39D7" w:rsidRPr="005F23D7" w:rsidRDefault="004F39D7" w:rsidP="005B2E3E">
      <w:pPr>
        <w:spacing w:line="240" w:lineRule="auto"/>
      </w:pPr>
      <w:r w:rsidRPr="005F23D7">
        <w:separator/>
      </w:r>
    </w:p>
    <w:p w:rsidR="004F39D7" w:rsidRPr="005F23D7" w:rsidRDefault="004F39D7"/>
  </w:endnote>
  <w:endnote w:type="continuationSeparator" w:id="0">
    <w:p w:rsidR="004F39D7" w:rsidRPr="005F23D7" w:rsidRDefault="004F39D7" w:rsidP="005B2E3E">
      <w:pPr>
        <w:spacing w:line="240" w:lineRule="auto"/>
      </w:pPr>
      <w:r w:rsidRPr="005F23D7">
        <w:continuationSeparator/>
      </w:r>
    </w:p>
    <w:p w:rsidR="004F39D7" w:rsidRPr="005F23D7" w:rsidRDefault="004F39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egoe">
    <w:altName w:val="Sans Serif Collection"/>
    <w:charset w:val="00"/>
    <w:family w:val="swiss"/>
    <w:pitch w:val="variable"/>
    <w:sig w:usb0="00000001" w:usb1="4000205B" w:usb2="00000000" w:usb3="00000000" w:csb0="0000009F" w:csb1="00000000"/>
  </w:font>
  <w:font w:name="Z@RB77C.tmp">
    <w:charset w:val="00"/>
    <w:family w:val="swiss"/>
    <w:pitch w:val="variable"/>
    <w:sig w:usb0="A00002AF" w:usb1="4000205B" w:usb2="00000000" w:usb3="00000000" w:csb0="0000009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1EF3" w:rsidRPr="005F23D7" w:rsidRDefault="002A1EF3">
    <w:pPr>
      <w:pStyle w:val="Footer"/>
      <w:jc w:val="center"/>
    </w:pPr>
    <w:r w:rsidRPr="005F23D7">
      <w:t xml:space="preserve">Copyright © 2013 by Karl Wiegers and </w:t>
    </w:r>
    <w:r>
      <w:t>Seilevel</w:t>
    </w:r>
    <w:r w:rsidRPr="005F23D7">
      <w:t>. Permission is granted to use and modify this document.</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1EF3" w:rsidRPr="005F23D7" w:rsidRDefault="002A1EF3" w:rsidP="00CA2467">
    <w:pPr>
      <w:pStyle w:val="Footer"/>
      <w:jc w:val="center"/>
    </w:pPr>
    <w:r w:rsidRPr="005F23D7">
      <w:t xml:space="preserve">Copyright © 2013 by Karl Wiegers and </w:t>
    </w:r>
    <w:r>
      <w:t>Seilevel</w:t>
    </w:r>
    <w:r w:rsidRPr="005F23D7">
      <w:t>. Permission is granted to use and modify this document.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39D7" w:rsidRPr="005F23D7" w:rsidRDefault="004F39D7" w:rsidP="005B2E3E">
      <w:pPr>
        <w:spacing w:line="240" w:lineRule="auto"/>
      </w:pPr>
      <w:r w:rsidRPr="005F23D7">
        <w:separator/>
      </w:r>
    </w:p>
    <w:p w:rsidR="004F39D7" w:rsidRPr="005F23D7" w:rsidRDefault="004F39D7"/>
  </w:footnote>
  <w:footnote w:type="continuationSeparator" w:id="0">
    <w:p w:rsidR="004F39D7" w:rsidRPr="005F23D7" w:rsidRDefault="004F39D7" w:rsidP="005B2E3E">
      <w:pPr>
        <w:spacing w:line="240" w:lineRule="auto"/>
      </w:pPr>
      <w:r w:rsidRPr="005F23D7">
        <w:continuationSeparator/>
      </w:r>
    </w:p>
    <w:p w:rsidR="004F39D7" w:rsidRPr="005F23D7" w:rsidRDefault="004F39D7"/>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1EF3" w:rsidRPr="005F23D7" w:rsidRDefault="002A1EF3">
    <w:pPr>
      <w:pStyle w:val="Header"/>
    </w:pPr>
    <w:r w:rsidRPr="005F23D7">
      <w:t>Software</w:t>
    </w:r>
    <w:r w:rsidRPr="005F23D7">
      <w:rPr>
        <w:sz w:val="24"/>
      </w:rPr>
      <w:t xml:space="preserve"> </w:t>
    </w:r>
    <w:r w:rsidRPr="005F23D7">
      <w:t>Requirements Specification for</w:t>
    </w:r>
    <w:r>
      <w:t xml:space="preserve"> </w:t>
    </w:r>
    <w:r w:rsidRPr="00CD1231">
      <w:t>TaxEngine</w:t>
    </w:r>
    <w:r w:rsidRPr="005F23D7">
      <w:tab/>
    </w:r>
    <w:r w:rsidRPr="005F23D7">
      <w:tab/>
      <w:t xml:space="preserve">Page </w:t>
    </w:r>
    <w:r>
      <w:fldChar w:fldCharType="begin"/>
    </w:r>
    <w:r>
      <w:instrText xml:space="preserve"> PAGE  \* MERGEFORMAT </w:instrText>
    </w:r>
    <w:r>
      <w:fldChar w:fldCharType="separate"/>
    </w:r>
    <w:r w:rsidR="000B101C">
      <w:rPr>
        <w:noProof/>
      </w:rPr>
      <w:t>ii</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1EF3" w:rsidRPr="005F23D7" w:rsidRDefault="002A1EF3" w:rsidP="006059E7">
    <w:pPr>
      <w:pStyle w:val="Header"/>
      <w:tabs>
        <w:tab w:val="clear" w:pos="4680"/>
        <w:tab w:val="clear" w:pos="9360"/>
        <w:tab w:val="right" w:pos="9630"/>
      </w:tabs>
    </w:pPr>
    <w:r w:rsidRPr="005F23D7">
      <w:t>Software</w:t>
    </w:r>
    <w:r w:rsidRPr="005F23D7">
      <w:rPr>
        <w:sz w:val="24"/>
      </w:rPr>
      <w:t xml:space="preserve"> </w:t>
    </w:r>
    <w:r w:rsidRPr="005F23D7">
      <w:t xml:space="preserve">Requirements Specification for </w:t>
    </w:r>
    <w:r>
      <w:t>TaxEngine</w:t>
    </w:r>
    <w:r w:rsidRPr="005F23D7">
      <w:tab/>
      <w:t xml:space="preserve">Page </w:t>
    </w:r>
    <w:r>
      <w:fldChar w:fldCharType="begin"/>
    </w:r>
    <w:r>
      <w:instrText xml:space="preserve"> PAGE  \* MERGEFORMAT </w:instrText>
    </w:r>
    <w:r>
      <w:fldChar w:fldCharType="separate"/>
    </w:r>
    <w:r w:rsidR="000B101C">
      <w:rPr>
        <w:noProof/>
      </w:rPr>
      <w:t>1</w:t>
    </w:r>
    <w:r>
      <w:rPr>
        <w:noProof/>
      </w:rPr>
      <w:fldChar w:fldCharType="end"/>
    </w:r>
  </w:p>
  <w:p w:rsidR="002A1EF3" w:rsidRPr="005F23D7" w:rsidRDefault="002A1EF3"/>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A8C5C8E"/>
    <w:multiLevelType w:val="multilevel"/>
    <w:tmpl w:val="E28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96C6A"/>
    <w:multiLevelType w:val="hybridMultilevel"/>
    <w:tmpl w:val="E250B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BB139C"/>
    <w:multiLevelType w:val="multilevel"/>
    <w:tmpl w:val="D8BC5BE2"/>
    <w:lvl w:ilvl="0">
      <w:start w:val="1"/>
      <w:numFmt w:val="decimal"/>
      <w:lvlText w:val="%1."/>
      <w:legacy w:legacy="1" w:legacySpace="360" w:legacyIndent="0"/>
      <w:lvlJc w:val="left"/>
      <w:rPr>
        <w:rFonts w:hint="default"/>
      </w:rPr>
    </w:lvl>
    <w:lvl w:ilvl="1">
      <w:start w:val="1"/>
      <w:numFmt w:val="decimal"/>
      <w:lvlText w:val="%1.%2"/>
      <w:legacy w:legacy="1" w:legacySpace="360" w:legacyIndent="0"/>
      <w:lvlJc w:val="left"/>
      <w:rPr>
        <w:rFonts w:hint="default"/>
      </w:rPr>
    </w:lvl>
    <w:lvl w:ilvl="2">
      <w:start w:val="1"/>
      <w:numFmt w:val="decimal"/>
      <w:lvlText w:val="%1.%2.%3"/>
      <w:legacy w:legacy="1" w:legacySpace="360" w:legacyIndent="0"/>
      <w:lvlJc w:val="left"/>
      <w:rPr>
        <w:rFonts w:hint="default"/>
      </w:rPr>
    </w:lvl>
    <w:lvl w:ilvl="3">
      <w:start w:val="1"/>
      <w:numFmt w:val="decimal"/>
      <w:lvlText w:val="%1.%2.%3.%4"/>
      <w:legacy w:legacy="1" w:legacySpace="360" w:legacyIndent="0"/>
      <w:lvlJc w:val="left"/>
      <w:rPr>
        <w:rFonts w:hint="default"/>
      </w:rPr>
    </w:lvl>
    <w:lvl w:ilvl="4">
      <w:start w:val="1"/>
      <w:numFmt w:val="decimal"/>
      <w:lvlText w:val="%1.%2.%3.%4.%5"/>
      <w:legacy w:legacy="1" w:legacySpace="360" w:legacyIndent="0"/>
      <w:lvlJc w:val="left"/>
      <w:rPr>
        <w:rFonts w:hint="default"/>
      </w:rPr>
    </w:lvl>
    <w:lvl w:ilvl="5">
      <w:start w:val="1"/>
      <w:numFmt w:val="decimal"/>
      <w:lvlText w:val="%1.%2.%3.%4.%5.%6"/>
      <w:legacy w:legacy="1" w:legacySpace="360" w:legacyIndent="0"/>
      <w:lvlJc w:val="left"/>
      <w:rPr>
        <w:rFonts w:hint="default"/>
      </w:rPr>
    </w:lvl>
    <w:lvl w:ilvl="6">
      <w:start w:val="1"/>
      <w:numFmt w:val="decimal"/>
      <w:lvlText w:val="%1.%2.%3.%4.%5.%6.%7"/>
      <w:legacy w:legacy="1" w:legacySpace="360" w:legacyIndent="0"/>
      <w:lvlJc w:val="left"/>
      <w:rPr>
        <w:rFonts w:hint="default"/>
      </w:rPr>
    </w:lvl>
    <w:lvl w:ilvl="7">
      <w:start w:val="1"/>
      <w:numFmt w:val="decimal"/>
      <w:lvlText w:val="%1.%2.%3.%4.%5.%6.%7.%8"/>
      <w:legacy w:legacy="1" w:legacySpace="360" w:legacyIndent="0"/>
      <w:lvlJc w:val="left"/>
      <w:rPr>
        <w:rFonts w:hint="default"/>
      </w:rPr>
    </w:lvl>
    <w:lvl w:ilvl="8">
      <w:start w:val="1"/>
      <w:numFmt w:val="decimal"/>
      <w:lvlText w:val="%1.%2.%3.%4.%5.%6.%7.%8.%9"/>
      <w:legacy w:legacy="1" w:legacySpace="360" w:legacyIndent="0"/>
      <w:lvlJc w:val="left"/>
      <w:rPr>
        <w:rFonts w:hint="default"/>
      </w:rPr>
    </w:lvl>
  </w:abstractNum>
  <w:abstractNum w:abstractNumId="4" w15:restartNumberingAfterBreak="0">
    <w:nsid w:val="1537238B"/>
    <w:multiLevelType w:val="hybridMultilevel"/>
    <w:tmpl w:val="6F70B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D72FD"/>
    <w:multiLevelType w:val="hybridMultilevel"/>
    <w:tmpl w:val="6F0C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97932"/>
    <w:multiLevelType w:val="hybridMultilevel"/>
    <w:tmpl w:val="2A3C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A5AAB"/>
    <w:multiLevelType w:val="hybridMultilevel"/>
    <w:tmpl w:val="378E8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526189"/>
    <w:multiLevelType w:val="hybridMultilevel"/>
    <w:tmpl w:val="08420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953C38"/>
    <w:multiLevelType w:val="hybridMultilevel"/>
    <w:tmpl w:val="073E3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614383"/>
    <w:multiLevelType w:val="hybridMultilevel"/>
    <w:tmpl w:val="6DF26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944B31"/>
    <w:multiLevelType w:val="hybridMultilevel"/>
    <w:tmpl w:val="D83C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7D0E3D"/>
    <w:multiLevelType w:val="hybridMultilevel"/>
    <w:tmpl w:val="F5160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9D53DE"/>
    <w:multiLevelType w:val="hybridMultilevel"/>
    <w:tmpl w:val="152E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9D2392"/>
    <w:multiLevelType w:val="hybridMultilevel"/>
    <w:tmpl w:val="9C52A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7000C8"/>
    <w:multiLevelType w:val="hybridMultilevel"/>
    <w:tmpl w:val="4DF62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1C1F53"/>
    <w:multiLevelType w:val="hybridMultilevel"/>
    <w:tmpl w:val="F7762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4109AA"/>
    <w:multiLevelType w:val="hybridMultilevel"/>
    <w:tmpl w:val="E4CC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893506"/>
    <w:multiLevelType w:val="multilevel"/>
    <w:tmpl w:val="B7A0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96EC8"/>
    <w:multiLevelType w:val="hybridMultilevel"/>
    <w:tmpl w:val="5ACCC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EC5500"/>
    <w:multiLevelType w:val="hybridMultilevel"/>
    <w:tmpl w:val="477E2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8851CF"/>
    <w:multiLevelType w:val="hybridMultilevel"/>
    <w:tmpl w:val="8BB4E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E36E97"/>
    <w:multiLevelType w:val="hybridMultilevel"/>
    <w:tmpl w:val="9734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451630"/>
    <w:multiLevelType w:val="multilevel"/>
    <w:tmpl w:val="EAFA020E"/>
    <w:lvl w:ilvl="0">
      <w:start w:val="1"/>
      <w:numFmt w:val="bullet"/>
      <w:lvlText w:val=""/>
      <w:lvlJc w:val="left"/>
      <w:rPr>
        <w:rFonts w:ascii="Symbol" w:hAnsi="Symbol" w:hint="default"/>
      </w:rPr>
    </w:lvl>
    <w:lvl w:ilvl="1">
      <w:start w:val="1"/>
      <w:numFmt w:val="decimal"/>
      <w:lvlText w:val="%1.%2"/>
      <w:legacy w:legacy="1" w:legacySpace="360" w:legacyIndent="0"/>
      <w:lvlJc w:val="left"/>
      <w:rPr>
        <w:rFonts w:hint="default"/>
      </w:rPr>
    </w:lvl>
    <w:lvl w:ilvl="2">
      <w:start w:val="1"/>
      <w:numFmt w:val="decimal"/>
      <w:lvlText w:val="%1.%2.%3"/>
      <w:legacy w:legacy="1" w:legacySpace="360" w:legacyIndent="0"/>
      <w:lvlJc w:val="left"/>
      <w:rPr>
        <w:rFonts w:hint="default"/>
      </w:rPr>
    </w:lvl>
    <w:lvl w:ilvl="3">
      <w:start w:val="1"/>
      <w:numFmt w:val="decimal"/>
      <w:lvlText w:val="%1.%2.%3.%4"/>
      <w:legacy w:legacy="1" w:legacySpace="360" w:legacyIndent="0"/>
      <w:lvlJc w:val="left"/>
      <w:rPr>
        <w:rFonts w:hint="default"/>
      </w:rPr>
    </w:lvl>
    <w:lvl w:ilvl="4">
      <w:start w:val="1"/>
      <w:numFmt w:val="decimal"/>
      <w:lvlText w:val="%1.%2.%3.%4.%5"/>
      <w:legacy w:legacy="1" w:legacySpace="360" w:legacyIndent="0"/>
      <w:lvlJc w:val="left"/>
      <w:rPr>
        <w:rFonts w:hint="default"/>
      </w:rPr>
    </w:lvl>
    <w:lvl w:ilvl="5">
      <w:start w:val="1"/>
      <w:numFmt w:val="decimal"/>
      <w:lvlText w:val="%1.%2.%3.%4.%5.%6"/>
      <w:legacy w:legacy="1" w:legacySpace="360" w:legacyIndent="0"/>
      <w:lvlJc w:val="left"/>
      <w:rPr>
        <w:rFonts w:hint="default"/>
      </w:rPr>
    </w:lvl>
    <w:lvl w:ilvl="6">
      <w:start w:val="1"/>
      <w:numFmt w:val="decimal"/>
      <w:lvlText w:val="%1.%2.%3.%4.%5.%6.%7"/>
      <w:legacy w:legacy="1" w:legacySpace="360" w:legacyIndent="0"/>
      <w:lvlJc w:val="left"/>
      <w:rPr>
        <w:rFonts w:hint="default"/>
      </w:rPr>
    </w:lvl>
    <w:lvl w:ilvl="7">
      <w:start w:val="1"/>
      <w:numFmt w:val="decimal"/>
      <w:lvlText w:val="%1.%2.%3.%4.%5.%6.%7.%8"/>
      <w:legacy w:legacy="1" w:legacySpace="360" w:legacyIndent="0"/>
      <w:lvlJc w:val="left"/>
      <w:rPr>
        <w:rFonts w:hint="default"/>
      </w:rPr>
    </w:lvl>
    <w:lvl w:ilvl="8">
      <w:start w:val="1"/>
      <w:numFmt w:val="decimal"/>
      <w:lvlText w:val="%1.%2.%3.%4.%5.%6.%7.%8.%9"/>
      <w:legacy w:legacy="1" w:legacySpace="360" w:legacyIndent="0"/>
      <w:lvlJc w:val="left"/>
      <w:rPr>
        <w:rFonts w:hint="default"/>
      </w:rPr>
    </w:lvl>
  </w:abstractNum>
  <w:abstractNum w:abstractNumId="24" w15:restartNumberingAfterBreak="0">
    <w:nsid w:val="43A967EC"/>
    <w:multiLevelType w:val="multilevel"/>
    <w:tmpl w:val="095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A75AC"/>
    <w:multiLevelType w:val="multilevel"/>
    <w:tmpl w:val="EAFA020E"/>
    <w:lvl w:ilvl="0">
      <w:start w:val="1"/>
      <w:numFmt w:val="bullet"/>
      <w:lvlText w:val=""/>
      <w:lvlJc w:val="left"/>
      <w:rPr>
        <w:rFonts w:ascii="Symbol" w:hAnsi="Symbol" w:hint="default"/>
      </w:rPr>
    </w:lvl>
    <w:lvl w:ilvl="1">
      <w:start w:val="1"/>
      <w:numFmt w:val="decimal"/>
      <w:lvlText w:val="%1.%2"/>
      <w:legacy w:legacy="1" w:legacySpace="360" w:legacyIndent="0"/>
      <w:lvlJc w:val="left"/>
      <w:rPr>
        <w:rFonts w:hint="default"/>
      </w:rPr>
    </w:lvl>
    <w:lvl w:ilvl="2">
      <w:start w:val="1"/>
      <w:numFmt w:val="decimal"/>
      <w:lvlText w:val="%1.%2.%3"/>
      <w:legacy w:legacy="1" w:legacySpace="360" w:legacyIndent="0"/>
      <w:lvlJc w:val="left"/>
      <w:rPr>
        <w:rFonts w:hint="default"/>
      </w:rPr>
    </w:lvl>
    <w:lvl w:ilvl="3">
      <w:start w:val="1"/>
      <w:numFmt w:val="decimal"/>
      <w:lvlText w:val="%1.%2.%3.%4"/>
      <w:legacy w:legacy="1" w:legacySpace="360" w:legacyIndent="0"/>
      <w:lvlJc w:val="left"/>
      <w:rPr>
        <w:rFonts w:hint="default"/>
      </w:rPr>
    </w:lvl>
    <w:lvl w:ilvl="4">
      <w:start w:val="1"/>
      <w:numFmt w:val="decimal"/>
      <w:lvlText w:val="%1.%2.%3.%4.%5"/>
      <w:legacy w:legacy="1" w:legacySpace="360" w:legacyIndent="0"/>
      <w:lvlJc w:val="left"/>
      <w:rPr>
        <w:rFonts w:hint="default"/>
      </w:rPr>
    </w:lvl>
    <w:lvl w:ilvl="5">
      <w:start w:val="1"/>
      <w:numFmt w:val="decimal"/>
      <w:lvlText w:val="%1.%2.%3.%4.%5.%6"/>
      <w:legacy w:legacy="1" w:legacySpace="360" w:legacyIndent="0"/>
      <w:lvlJc w:val="left"/>
      <w:rPr>
        <w:rFonts w:hint="default"/>
      </w:rPr>
    </w:lvl>
    <w:lvl w:ilvl="6">
      <w:start w:val="1"/>
      <w:numFmt w:val="decimal"/>
      <w:lvlText w:val="%1.%2.%3.%4.%5.%6.%7"/>
      <w:legacy w:legacy="1" w:legacySpace="360" w:legacyIndent="0"/>
      <w:lvlJc w:val="left"/>
      <w:rPr>
        <w:rFonts w:hint="default"/>
      </w:rPr>
    </w:lvl>
    <w:lvl w:ilvl="7">
      <w:start w:val="1"/>
      <w:numFmt w:val="decimal"/>
      <w:lvlText w:val="%1.%2.%3.%4.%5.%6.%7.%8"/>
      <w:legacy w:legacy="1" w:legacySpace="360" w:legacyIndent="0"/>
      <w:lvlJc w:val="left"/>
      <w:rPr>
        <w:rFonts w:hint="default"/>
      </w:rPr>
    </w:lvl>
    <w:lvl w:ilvl="8">
      <w:start w:val="1"/>
      <w:numFmt w:val="decimal"/>
      <w:lvlText w:val="%1.%2.%3.%4.%5.%6.%7.%8.%9"/>
      <w:legacy w:legacy="1" w:legacySpace="360" w:legacyIndent="0"/>
      <w:lvlJc w:val="left"/>
      <w:rPr>
        <w:rFonts w:hint="default"/>
      </w:rPr>
    </w:lvl>
  </w:abstractNum>
  <w:abstractNum w:abstractNumId="26" w15:restartNumberingAfterBreak="0">
    <w:nsid w:val="52B23CC3"/>
    <w:multiLevelType w:val="hybridMultilevel"/>
    <w:tmpl w:val="99049F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98F0527"/>
    <w:multiLevelType w:val="hybridMultilevel"/>
    <w:tmpl w:val="A0DA3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387FE8"/>
    <w:multiLevelType w:val="hybridMultilevel"/>
    <w:tmpl w:val="C78E1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30" w15:restartNumberingAfterBreak="0">
    <w:nsid w:val="61F372C6"/>
    <w:multiLevelType w:val="hybridMultilevel"/>
    <w:tmpl w:val="17A21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88515E"/>
    <w:multiLevelType w:val="hybridMultilevel"/>
    <w:tmpl w:val="7B4E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374815"/>
    <w:multiLevelType w:val="hybridMultilevel"/>
    <w:tmpl w:val="326A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640C4C"/>
    <w:multiLevelType w:val="hybridMultilevel"/>
    <w:tmpl w:val="F064E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415023"/>
    <w:multiLevelType w:val="multilevel"/>
    <w:tmpl w:val="3CF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1277B6"/>
    <w:multiLevelType w:val="hybridMultilevel"/>
    <w:tmpl w:val="9918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EF2511"/>
    <w:multiLevelType w:val="hybridMultilevel"/>
    <w:tmpl w:val="7DBC1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46724F"/>
    <w:multiLevelType w:val="hybridMultilevel"/>
    <w:tmpl w:val="1CC40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3068AA"/>
    <w:multiLevelType w:val="multilevel"/>
    <w:tmpl w:val="28DC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D1340"/>
    <w:multiLevelType w:val="hybridMultilevel"/>
    <w:tmpl w:val="5D7CF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9"/>
  </w:num>
  <w:num w:numId="3">
    <w:abstractNumId w:val="4"/>
  </w:num>
  <w:num w:numId="4">
    <w:abstractNumId w:val="37"/>
  </w:num>
  <w:num w:numId="5">
    <w:abstractNumId w:val="28"/>
  </w:num>
  <w:num w:numId="6">
    <w:abstractNumId w:val="20"/>
  </w:num>
  <w:num w:numId="7">
    <w:abstractNumId w:val="31"/>
  </w:num>
  <w:num w:numId="8">
    <w:abstractNumId w:val="5"/>
  </w:num>
  <w:num w:numId="9">
    <w:abstractNumId w:val="9"/>
  </w:num>
  <w:num w:numId="10">
    <w:abstractNumId w:val="11"/>
  </w:num>
  <w:num w:numId="11">
    <w:abstractNumId w:val="14"/>
  </w:num>
  <w:num w:numId="12">
    <w:abstractNumId w:val="39"/>
  </w:num>
  <w:num w:numId="13">
    <w:abstractNumId w:val="10"/>
  </w:num>
  <w:num w:numId="14">
    <w:abstractNumId w:val="17"/>
  </w:num>
  <w:num w:numId="15">
    <w:abstractNumId w:val="27"/>
  </w:num>
  <w:num w:numId="16">
    <w:abstractNumId w:val="32"/>
  </w:num>
  <w:num w:numId="17">
    <w:abstractNumId w:val="26"/>
  </w:num>
  <w:num w:numId="18">
    <w:abstractNumId w:val="35"/>
  </w:num>
  <w:num w:numId="19">
    <w:abstractNumId w:val="16"/>
  </w:num>
  <w:num w:numId="20">
    <w:abstractNumId w:val="36"/>
  </w:num>
  <w:num w:numId="21">
    <w:abstractNumId w:val="19"/>
  </w:num>
  <w:num w:numId="22">
    <w:abstractNumId w:val="34"/>
  </w:num>
  <w:num w:numId="23">
    <w:abstractNumId w:val="24"/>
  </w:num>
  <w:num w:numId="24">
    <w:abstractNumId w:val="7"/>
  </w:num>
  <w:num w:numId="25">
    <w:abstractNumId w:val="2"/>
  </w:num>
  <w:num w:numId="26">
    <w:abstractNumId w:val="21"/>
  </w:num>
  <w:num w:numId="27">
    <w:abstractNumId w:val="8"/>
  </w:num>
  <w:num w:numId="28">
    <w:abstractNumId w:val="3"/>
  </w:num>
  <w:num w:numId="29">
    <w:abstractNumId w:val="23"/>
  </w:num>
  <w:num w:numId="30">
    <w:abstractNumId w:val="25"/>
  </w:num>
  <w:num w:numId="31">
    <w:abstractNumId w:val="30"/>
  </w:num>
  <w:num w:numId="32">
    <w:abstractNumId w:val="15"/>
  </w:num>
  <w:num w:numId="33">
    <w:abstractNumId w:val="12"/>
  </w:num>
  <w:num w:numId="34">
    <w:abstractNumId w:val="13"/>
  </w:num>
  <w:num w:numId="35">
    <w:abstractNumId w:val="22"/>
  </w:num>
  <w:num w:numId="36">
    <w:abstractNumId w:val="1"/>
  </w:num>
  <w:num w:numId="37">
    <w:abstractNumId w:val="18"/>
  </w:num>
  <w:num w:numId="38">
    <w:abstractNumId w:val="38"/>
  </w:num>
  <w:num w:numId="39">
    <w:abstractNumId w:val="33"/>
  </w:num>
  <w:num w:numId="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docVars>
    <w:docVar w:name="dgnword-docGUID" w:val="{A9730EFD-13EF-48A7-93FC-AA355A47A7FF}"/>
    <w:docVar w:name="dgnword-eventsink" w:val="68562464"/>
  </w:docVars>
  <w:rsids>
    <w:rsidRoot w:val="00772247"/>
    <w:rsid w:val="00005920"/>
    <w:rsid w:val="00052274"/>
    <w:rsid w:val="00066454"/>
    <w:rsid w:val="0006741A"/>
    <w:rsid w:val="00086D11"/>
    <w:rsid w:val="000B101C"/>
    <w:rsid w:val="0017676A"/>
    <w:rsid w:val="001C7DDD"/>
    <w:rsid w:val="00261530"/>
    <w:rsid w:val="0026483C"/>
    <w:rsid w:val="00267B9E"/>
    <w:rsid w:val="002906CC"/>
    <w:rsid w:val="002A1EF3"/>
    <w:rsid w:val="002C7FB1"/>
    <w:rsid w:val="00310C4B"/>
    <w:rsid w:val="004F30EB"/>
    <w:rsid w:val="004F39D7"/>
    <w:rsid w:val="00550949"/>
    <w:rsid w:val="005B2E3E"/>
    <w:rsid w:val="005F23D7"/>
    <w:rsid w:val="006059E7"/>
    <w:rsid w:val="007403BF"/>
    <w:rsid w:val="00757E14"/>
    <w:rsid w:val="00772247"/>
    <w:rsid w:val="00861917"/>
    <w:rsid w:val="00870007"/>
    <w:rsid w:val="008D4C24"/>
    <w:rsid w:val="00907D6A"/>
    <w:rsid w:val="0093213F"/>
    <w:rsid w:val="00A06772"/>
    <w:rsid w:val="00A8023C"/>
    <w:rsid w:val="00AA2FEA"/>
    <w:rsid w:val="00AE17C0"/>
    <w:rsid w:val="00B738D9"/>
    <w:rsid w:val="00BC2175"/>
    <w:rsid w:val="00C253A9"/>
    <w:rsid w:val="00C44E3E"/>
    <w:rsid w:val="00CA2467"/>
    <w:rsid w:val="00CD1231"/>
    <w:rsid w:val="00CE2EDB"/>
    <w:rsid w:val="00CF5B5A"/>
    <w:rsid w:val="00D379F8"/>
    <w:rsid w:val="00D45CE0"/>
    <w:rsid w:val="00D90AA9"/>
    <w:rsid w:val="00DD032C"/>
    <w:rsid w:val="00E436C1"/>
    <w:rsid w:val="00ED0EFE"/>
    <w:rsid w:val="00ED30A5"/>
    <w:rsid w:val="00ED50CB"/>
    <w:rsid w:val="00F33D2A"/>
    <w:rsid w:val="00FB4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718E64"/>
  <w15:docId w15:val="{0F9354B7-2155-4A4A-8025-12004AA3F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5920"/>
    <w:pPr>
      <w:spacing w:line="240" w:lineRule="exact"/>
    </w:pPr>
    <w:rPr>
      <w:sz w:val="24"/>
    </w:rPr>
  </w:style>
  <w:style w:type="paragraph" w:styleId="Heading1">
    <w:name w:val="heading 1"/>
    <w:basedOn w:val="Normal"/>
    <w:next w:val="Normal"/>
    <w:qFormat/>
    <w:rsid w:val="00005920"/>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005920"/>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005920"/>
    <w:pPr>
      <w:numPr>
        <w:ilvl w:val="2"/>
        <w:numId w:val="1"/>
      </w:numPr>
      <w:spacing w:before="240" w:after="240"/>
      <w:outlineLvl w:val="2"/>
    </w:pPr>
    <w:rPr>
      <w:b/>
    </w:rPr>
  </w:style>
  <w:style w:type="paragraph" w:styleId="Heading4">
    <w:name w:val="heading 4"/>
    <w:basedOn w:val="Normal"/>
    <w:next w:val="Normal"/>
    <w:qFormat/>
    <w:rsid w:val="00005920"/>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00592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00592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00592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00592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00592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05920"/>
    <w:pPr>
      <w:tabs>
        <w:tab w:val="center" w:pos="4680"/>
        <w:tab w:val="right" w:pos="9360"/>
      </w:tabs>
    </w:pPr>
    <w:rPr>
      <w:b/>
      <w:i/>
      <w:sz w:val="20"/>
    </w:rPr>
  </w:style>
  <w:style w:type="paragraph" w:styleId="Header">
    <w:name w:val="header"/>
    <w:basedOn w:val="Normal"/>
    <w:rsid w:val="00005920"/>
    <w:pPr>
      <w:tabs>
        <w:tab w:val="center" w:pos="4680"/>
        <w:tab w:val="right" w:pos="9360"/>
      </w:tabs>
    </w:pPr>
    <w:rPr>
      <w:b/>
      <w:i/>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styleId="Title">
    <w:name w:val="Title"/>
    <w:basedOn w:val="Normal"/>
    <w:qFormat/>
    <w:rsid w:val="00005920"/>
    <w:pPr>
      <w:spacing w:before="240" w:after="720" w:line="240" w:lineRule="auto"/>
      <w:jc w:val="right"/>
    </w:pPr>
    <w:rPr>
      <w:rFonts w:ascii="Arial" w:hAnsi="Arial"/>
      <w:b/>
      <w:kern w:val="28"/>
      <w:sz w:val="64"/>
    </w:rPr>
  </w:style>
  <w:style w:type="paragraph" w:customStyle="1" w:styleId="TOCEntry">
    <w:name w:val="TOCEntry"/>
    <w:basedOn w:val="Normal"/>
    <w:rsid w:val="00005920"/>
    <w:pPr>
      <w:keepNext/>
      <w:keepLines/>
      <w:spacing w:before="120" w:after="240" w:line="240" w:lineRule="atLeast"/>
    </w:pPr>
    <w:rPr>
      <w:b/>
      <w:sz w:val="36"/>
    </w:rPr>
  </w:style>
  <w:style w:type="paragraph" w:styleId="TOC3">
    <w:name w:val="toc 3"/>
    <w:basedOn w:val="Normal"/>
    <w:next w:val="Normal"/>
    <w:uiPriority w:val="39"/>
    <w:rsid w:val="00005920"/>
    <w:pPr>
      <w:tabs>
        <w:tab w:val="left" w:pos="1200"/>
        <w:tab w:val="right" w:leader="dot" w:pos="9360"/>
      </w:tabs>
      <w:ind w:left="480"/>
    </w:pPr>
    <w:rPr>
      <w:noProof/>
      <w:sz w:val="22"/>
    </w:rPr>
  </w:style>
  <w:style w:type="paragraph" w:styleId="TOC4">
    <w:name w:val="toc 4"/>
    <w:basedOn w:val="Normal"/>
    <w:next w:val="Normal"/>
    <w:semiHidden/>
    <w:rsid w:val="00005920"/>
    <w:pPr>
      <w:tabs>
        <w:tab w:val="right" w:leader="dot" w:pos="9360"/>
      </w:tabs>
      <w:ind w:left="720"/>
    </w:pPr>
  </w:style>
  <w:style w:type="paragraph" w:styleId="TOC5">
    <w:name w:val="toc 5"/>
    <w:basedOn w:val="Normal"/>
    <w:next w:val="Normal"/>
    <w:semiHidden/>
    <w:rsid w:val="00005920"/>
    <w:pPr>
      <w:tabs>
        <w:tab w:val="right" w:leader="dot" w:pos="9360"/>
      </w:tabs>
      <w:ind w:left="960"/>
    </w:pPr>
  </w:style>
  <w:style w:type="paragraph" w:styleId="TOC6">
    <w:name w:val="toc 6"/>
    <w:basedOn w:val="Normal"/>
    <w:next w:val="Normal"/>
    <w:semiHidden/>
    <w:rsid w:val="00005920"/>
    <w:pPr>
      <w:tabs>
        <w:tab w:val="right" w:leader="dot" w:pos="9360"/>
      </w:tabs>
      <w:ind w:left="1200"/>
    </w:pPr>
  </w:style>
  <w:style w:type="paragraph" w:styleId="TOC7">
    <w:name w:val="toc 7"/>
    <w:basedOn w:val="Normal"/>
    <w:next w:val="Normal"/>
    <w:semiHidden/>
    <w:rsid w:val="00005920"/>
    <w:pPr>
      <w:tabs>
        <w:tab w:val="right" w:leader="dot" w:pos="9360"/>
      </w:tabs>
      <w:ind w:left="1440"/>
    </w:pPr>
  </w:style>
  <w:style w:type="paragraph" w:styleId="TOC8">
    <w:name w:val="toc 8"/>
    <w:basedOn w:val="Normal"/>
    <w:next w:val="Normal"/>
    <w:semiHidden/>
    <w:rsid w:val="00005920"/>
    <w:pPr>
      <w:tabs>
        <w:tab w:val="right" w:leader="dot" w:pos="9360"/>
      </w:tabs>
      <w:ind w:left="1680"/>
    </w:pPr>
  </w:style>
  <w:style w:type="paragraph" w:styleId="TOC9">
    <w:name w:val="toc 9"/>
    <w:basedOn w:val="Normal"/>
    <w:next w:val="Normal"/>
    <w:semiHidden/>
    <w:rsid w:val="00005920"/>
    <w:pPr>
      <w:tabs>
        <w:tab w:val="right" w:leader="dot" w:pos="9360"/>
      </w:tabs>
      <w:ind w:left="1920"/>
    </w:pPr>
  </w:style>
  <w:style w:type="paragraph" w:customStyle="1" w:styleId="template">
    <w:name w:val="template"/>
    <w:basedOn w:val="Normal"/>
    <w:rsid w:val="00005920"/>
    <w:rPr>
      <w:rFonts w:ascii="Arial" w:hAnsi="Arial"/>
      <w:i/>
      <w:sz w:val="22"/>
    </w:rPr>
  </w:style>
  <w:style w:type="paragraph" w:customStyle="1" w:styleId="level3text">
    <w:name w:val="level 3 text"/>
    <w:basedOn w:val="Heading3"/>
    <w:rsid w:val="00BC2175"/>
    <w:pPr>
      <w:numPr>
        <w:ilvl w:val="0"/>
        <w:numId w:val="0"/>
      </w:numPr>
      <w:ind w:left="720"/>
    </w:pPr>
    <w:rPr>
      <w:rFonts w:ascii="Arial" w:hAnsi="Arial" w:cs="Arial"/>
      <w:b w:val="0"/>
      <w:i/>
      <w:sz w:val="22"/>
      <w:szCs w:val="22"/>
    </w:rPr>
  </w:style>
  <w:style w:type="paragraph" w:customStyle="1" w:styleId="ByLine">
    <w:name w:val="ByLine"/>
    <w:basedOn w:val="Title"/>
    <w:rsid w:val="00005920"/>
    <w:rPr>
      <w:sz w:val="28"/>
    </w:rPr>
  </w:style>
  <w:style w:type="paragraph" w:customStyle="1" w:styleId="ChangeHistoryTitle">
    <w:name w:val="ChangeHistory Title"/>
    <w:basedOn w:val="Normal"/>
    <w:rsid w:val="00005920"/>
    <w:pPr>
      <w:keepNext/>
      <w:spacing w:before="60" w:after="60" w:line="240" w:lineRule="auto"/>
      <w:jc w:val="center"/>
    </w:pPr>
    <w:rPr>
      <w:rFonts w:ascii="Arial" w:hAnsi="Arial"/>
      <w:b/>
      <w:sz w:val="36"/>
    </w:rPr>
  </w:style>
  <w:style w:type="paragraph" w:customStyle="1" w:styleId="line">
    <w:name w:val="line"/>
    <w:basedOn w:val="Title"/>
    <w:rsid w:val="00005920"/>
    <w:pPr>
      <w:pBdr>
        <w:top w:val="single" w:sz="36" w:space="1" w:color="auto"/>
      </w:pBdr>
      <w:spacing w:after="0"/>
    </w:pPr>
    <w:rPr>
      <w:sz w:val="40"/>
    </w:rPr>
  </w:style>
  <w:style w:type="paragraph" w:customStyle="1" w:styleId="Normalunindented">
    <w:name w:val="Normal (unindented)"/>
    <w:basedOn w:val="Normal"/>
    <w:qFormat/>
    <w:rsid w:val="00CA2467"/>
    <w:pPr>
      <w:widowControl w:val="0"/>
      <w:autoSpaceDE w:val="0"/>
      <w:autoSpaceDN w:val="0"/>
      <w:adjustRightInd w:val="0"/>
      <w:spacing w:after="140" w:line="260" w:lineRule="exact"/>
      <w:ind w:left="475"/>
      <w:textAlignment w:val="baseline"/>
    </w:pPr>
    <w:rPr>
      <w:rFonts w:ascii="Segoe" w:eastAsia="Z@RB77C.tmp" w:hAnsi="Segoe" w:cs="Segoe"/>
      <w:color w:val="000000"/>
      <w:sz w:val="18"/>
      <w:szCs w:val="19"/>
    </w:rPr>
  </w:style>
  <w:style w:type="paragraph" w:customStyle="1" w:styleId="BullList">
    <w:name w:val="Bull List"/>
    <w:basedOn w:val="Normal"/>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paragraph" w:styleId="ListParagraph">
    <w:name w:val="List Paragraph"/>
    <w:basedOn w:val="Normal"/>
    <w:uiPriority w:val="34"/>
    <w:qFormat/>
    <w:rsid w:val="005B2E3E"/>
    <w:pPr>
      <w:ind w:left="720"/>
      <w:contextualSpacing/>
    </w:pPr>
  </w:style>
  <w:style w:type="character" w:customStyle="1" w:styleId="citation-261">
    <w:name w:val="citation-261"/>
    <w:basedOn w:val="DefaultParagraphFont"/>
    <w:rsid w:val="00C253A9"/>
  </w:style>
  <w:style w:type="table" w:styleId="TableGrid">
    <w:name w:val="Table Grid"/>
    <w:basedOn w:val="TableNormal"/>
    <w:uiPriority w:val="59"/>
    <w:rsid w:val="00B738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738D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2A1EF3"/>
    <w:pPr>
      <w:spacing w:before="100" w:beforeAutospacing="1" w:after="100" w:afterAutospacing="1" w:line="240" w:lineRule="auto"/>
    </w:pPr>
    <w:rPr>
      <w:szCs w:val="24"/>
    </w:rPr>
  </w:style>
  <w:style w:type="character" w:customStyle="1" w:styleId="citation-303">
    <w:name w:val="citation-303"/>
    <w:basedOn w:val="DefaultParagraphFont"/>
    <w:rsid w:val="002A1EF3"/>
  </w:style>
  <w:style w:type="character" w:customStyle="1" w:styleId="button-label">
    <w:name w:val="button-label"/>
    <w:basedOn w:val="DefaultParagraphFont"/>
    <w:rsid w:val="002A1EF3"/>
  </w:style>
  <w:style w:type="character" w:customStyle="1" w:styleId="citation-302">
    <w:name w:val="citation-302"/>
    <w:basedOn w:val="DefaultParagraphFont"/>
    <w:rsid w:val="002A1EF3"/>
  </w:style>
  <w:style w:type="character" w:customStyle="1" w:styleId="citation-301">
    <w:name w:val="citation-301"/>
    <w:basedOn w:val="DefaultParagraphFont"/>
    <w:rsid w:val="002A1EF3"/>
  </w:style>
  <w:style w:type="character" w:customStyle="1" w:styleId="citation-300">
    <w:name w:val="citation-300"/>
    <w:basedOn w:val="DefaultParagraphFont"/>
    <w:rsid w:val="002A1EF3"/>
  </w:style>
  <w:style w:type="character" w:customStyle="1" w:styleId="citation-299">
    <w:name w:val="citation-299"/>
    <w:basedOn w:val="DefaultParagraphFont"/>
    <w:rsid w:val="002A1EF3"/>
  </w:style>
  <w:style w:type="character" w:customStyle="1" w:styleId="citation-298">
    <w:name w:val="citation-298"/>
    <w:basedOn w:val="DefaultParagraphFont"/>
    <w:rsid w:val="002A1EF3"/>
  </w:style>
  <w:style w:type="character" w:customStyle="1" w:styleId="citation-297">
    <w:name w:val="citation-297"/>
    <w:basedOn w:val="DefaultParagraphFont"/>
    <w:rsid w:val="002A1EF3"/>
  </w:style>
  <w:style w:type="character" w:customStyle="1" w:styleId="citation-296">
    <w:name w:val="citation-296"/>
    <w:basedOn w:val="DefaultParagraphFont"/>
    <w:rsid w:val="002A1EF3"/>
  </w:style>
  <w:style w:type="character" w:customStyle="1" w:styleId="citation-432">
    <w:name w:val="citation-432"/>
    <w:basedOn w:val="DefaultParagraphFont"/>
    <w:rsid w:val="00870007"/>
  </w:style>
  <w:style w:type="character" w:customStyle="1" w:styleId="citation-431">
    <w:name w:val="citation-431"/>
    <w:basedOn w:val="DefaultParagraphFont"/>
    <w:rsid w:val="00870007"/>
  </w:style>
  <w:style w:type="character" w:customStyle="1" w:styleId="citation-430">
    <w:name w:val="citation-430"/>
    <w:basedOn w:val="DefaultParagraphFont"/>
    <w:rsid w:val="00870007"/>
  </w:style>
  <w:style w:type="character" w:customStyle="1" w:styleId="citation-429">
    <w:name w:val="citation-429"/>
    <w:basedOn w:val="DefaultParagraphFont"/>
    <w:rsid w:val="00870007"/>
  </w:style>
  <w:style w:type="character" w:customStyle="1" w:styleId="citation-428">
    <w:name w:val="citation-428"/>
    <w:basedOn w:val="DefaultParagraphFont"/>
    <w:rsid w:val="00870007"/>
  </w:style>
  <w:style w:type="character" w:customStyle="1" w:styleId="citation-427">
    <w:name w:val="citation-427"/>
    <w:basedOn w:val="DefaultParagraphFont"/>
    <w:rsid w:val="00870007"/>
  </w:style>
  <w:style w:type="character" w:customStyle="1" w:styleId="citation-426">
    <w:name w:val="citation-426"/>
    <w:basedOn w:val="DefaultParagraphFont"/>
    <w:rsid w:val="00870007"/>
  </w:style>
  <w:style w:type="character" w:customStyle="1" w:styleId="citation-425">
    <w:name w:val="citation-425"/>
    <w:basedOn w:val="DefaultParagraphFont"/>
    <w:rsid w:val="00870007"/>
  </w:style>
  <w:style w:type="character" w:customStyle="1" w:styleId="citation-424">
    <w:name w:val="citation-424"/>
    <w:basedOn w:val="DefaultParagraphFont"/>
    <w:rsid w:val="00870007"/>
  </w:style>
  <w:style w:type="character" w:customStyle="1" w:styleId="citation-423">
    <w:name w:val="citation-423"/>
    <w:basedOn w:val="DefaultParagraphFont"/>
    <w:rsid w:val="00870007"/>
  </w:style>
  <w:style w:type="character" w:customStyle="1" w:styleId="citation-422">
    <w:name w:val="citation-422"/>
    <w:basedOn w:val="DefaultParagraphFont"/>
    <w:rsid w:val="00870007"/>
  </w:style>
  <w:style w:type="character" w:customStyle="1" w:styleId="citation-421">
    <w:name w:val="citation-421"/>
    <w:basedOn w:val="DefaultParagraphFont"/>
    <w:rsid w:val="00870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12495">
      <w:bodyDiv w:val="1"/>
      <w:marLeft w:val="0"/>
      <w:marRight w:val="0"/>
      <w:marTop w:val="0"/>
      <w:marBottom w:val="0"/>
      <w:divBdr>
        <w:top w:val="none" w:sz="0" w:space="0" w:color="auto"/>
        <w:left w:val="none" w:sz="0" w:space="0" w:color="auto"/>
        <w:bottom w:val="none" w:sz="0" w:space="0" w:color="auto"/>
        <w:right w:val="none" w:sz="0" w:space="0" w:color="auto"/>
      </w:divBdr>
    </w:div>
    <w:div w:id="143595892">
      <w:bodyDiv w:val="1"/>
      <w:marLeft w:val="0"/>
      <w:marRight w:val="0"/>
      <w:marTop w:val="0"/>
      <w:marBottom w:val="0"/>
      <w:divBdr>
        <w:top w:val="none" w:sz="0" w:space="0" w:color="auto"/>
        <w:left w:val="none" w:sz="0" w:space="0" w:color="auto"/>
        <w:bottom w:val="none" w:sz="0" w:space="0" w:color="auto"/>
        <w:right w:val="none" w:sz="0" w:space="0" w:color="auto"/>
      </w:divBdr>
      <w:divsChild>
        <w:div w:id="1106001894">
          <w:marLeft w:val="0"/>
          <w:marRight w:val="0"/>
          <w:marTop w:val="0"/>
          <w:marBottom w:val="0"/>
          <w:divBdr>
            <w:top w:val="none" w:sz="0" w:space="0" w:color="auto"/>
            <w:left w:val="none" w:sz="0" w:space="0" w:color="auto"/>
            <w:bottom w:val="none" w:sz="0" w:space="0" w:color="auto"/>
            <w:right w:val="none" w:sz="0" w:space="0" w:color="auto"/>
          </w:divBdr>
          <w:divsChild>
            <w:div w:id="166288801">
              <w:marLeft w:val="0"/>
              <w:marRight w:val="0"/>
              <w:marTop w:val="0"/>
              <w:marBottom w:val="0"/>
              <w:divBdr>
                <w:top w:val="none" w:sz="0" w:space="0" w:color="auto"/>
                <w:left w:val="none" w:sz="0" w:space="0" w:color="auto"/>
                <w:bottom w:val="none" w:sz="0" w:space="0" w:color="auto"/>
                <w:right w:val="none" w:sz="0" w:space="0" w:color="auto"/>
              </w:divBdr>
            </w:div>
            <w:div w:id="169873210">
              <w:marLeft w:val="0"/>
              <w:marRight w:val="0"/>
              <w:marTop w:val="0"/>
              <w:marBottom w:val="0"/>
              <w:divBdr>
                <w:top w:val="none" w:sz="0" w:space="0" w:color="auto"/>
                <w:left w:val="none" w:sz="0" w:space="0" w:color="auto"/>
                <w:bottom w:val="none" w:sz="0" w:space="0" w:color="auto"/>
                <w:right w:val="none" w:sz="0" w:space="0" w:color="auto"/>
              </w:divBdr>
            </w:div>
            <w:div w:id="173688796">
              <w:marLeft w:val="0"/>
              <w:marRight w:val="0"/>
              <w:marTop w:val="0"/>
              <w:marBottom w:val="0"/>
              <w:divBdr>
                <w:top w:val="none" w:sz="0" w:space="0" w:color="auto"/>
                <w:left w:val="none" w:sz="0" w:space="0" w:color="auto"/>
                <w:bottom w:val="none" w:sz="0" w:space="0" w:color="auto"/>
                <w:right w:val="none" w:sz="0" w:space="0" w:color="auto"/>
              </w:divBdr>
            </w:div>
            <w:div w:id="185603322">
              <w:marLeft w:val="0"/>
              <w:marRight w:val="0"/>
              <w:marTop w:val="0"/>
              <w:marBottom w:val="0"/>
              <w:divBdr>
                <w:top w:val="none" w:sz="0" w:space="0" w:color="auto"/>
                <w:left w:val="none" w:sz="0" w:space="0" w:color="auto"/>
                <w:bottom w:val="none" w:sz="0" w:space="0" w:color="auto"/>
                <w:right w:val="none" w:sz="0" w:space="0" w:color="auto"/>
              </w:divBdr>
            </w:div>
            <w:div w:id="253591148">
              <w:marLeft w:val="0"/>
              <w:marRight w:val="0"/>
              <w:marTop w:val="0"/>
              <w:marBottom w:val="0"/>
              <w:divBdr>
                <w:top w:val="none" w:sz="0" w:space="0" w:color="auto"/>
                <w:left w:val="none" w:sz="0" w:space="0" w:color="auto"/>
                <w:bottom w:val="none" w:sz="0" w:space="0" w:color="auto"/>
                <w:right w:val="none" w:sz="0" w:space="0" w:color="auto"/>
              </w:divBdr>
            </w:div>
            <w:div w:id="285428677">
              <w:marLeft w:val="0"/>
              <w:marRight w:val="0"/>
              <w:marTop w:val="0"/>
              <w:marBottom w:val="0"/>
              <w:divBdr>
                <w:top w:val="none" w:sz="0" w:space="0" w:color="auto"/>
                <w:left w:val="none" w:sz="0" w:space="0" w:color="auto"/>
                <w:bottom w:val="none" w:sz="0" w:space="0" w:color="auto"/>
                <w:right w:val="none" w:sz="0" w:space="0" w:color="auto"/>
              </w:divBdr>
            </w:div>
            <w:div w:id="298610359">
              <w:marLeft w:val="0"/>
              <w:marRight w:val="0"/>
              <w:marTop w:val="0"/>
              <w:marBottom w:val="0"/>
              <w:divBdr>
                <w:top w:val="none" w:sz="0" w:space="0" w:color="auto"/>
                <w:left w:val="none" w:sz="0" w:space="0" w:color="auto"/>
                <w:bottom w:val="none" w:sz="0" w:space="0" w:color="auto"/>
                <w:right w:val="none" w:sz="0" w:space="0" w:color="auto"/>
              </w:divBdr>
            </w:div>
            <w:div w:id="302471936">
              <w:marLeft w:val="0"/>
              <w:marRight w:val="0"/>
              <w:marTop w:val="0"/>
              <w:marBottom w:val="0"/>
              <w:divBdr>
                <w:top w:val="none" w:sz="0" w:space="0" w:color="auto"/>
                <w:left w:val="none" w:sz="0" w:space="0" w:color="auto"/>
                <w:bottom w:val="none" w:sz="0" w:space="0" w:color="auto"/>
                <w:right w:val="none" w:sz="0" w:space="0" w:color="auto"/>
              </w:divBdr>
            </w:div>
            <w:div w:id="315496809">
              <w:marLeft w:val="0"/>
              <w:marRight w:val="0"/>
              <w:marTop w:val="0"/>
              <w:marBottom w:val="0"/>
              <w:divBdr>
                <w:top w:val="none" w:sz="0" w:space="0" w:color="auto"/>
                <w:left w:val="none" w:sz="0" w:space="0" w:color="auto"/>
                <w:bottom w:val="none" w:sz="0" w:space="0" w:color="auto"/>
                <w:right w:val="none" w:sz="0" w:space="0" w:color="auto"/>
              </w:divBdr>
            </w:div>
            <w:div w:id="412313485">
              <w:marLeft w:val="0"/>
              <w:marRight w:val="0"/>
              <w:marTop w:val="0"/>
              <w:marBottom w:val="0"/>
              <w:divBdr>
                <w:top w:val="none" w:sz="0" w:space="0" w:color="auto"/>
                <w:left w:val="none" w:sz="0" w:space="0" w:color="auto"/>
                <w:bottom w:val="none" w:sz="0" w:space="0" w:color="auto"/>
                <w:right w:val="none" w:sz="0" w:space="0" w:color="auto"/>
              </w:divBdr>
            </w:div>
            <w:div w:id="534852478">
              <w:marLeft w:val="0"/>
              <w:marRight w:val="0"/>
              <w:marTop w:val="0"/>
              <w:marBottom w:val="0"/>
              <w:divBdr>
                <w:top w:val="none" w:sz="0" w:space="0" w:color="auto"/>
                <w:left w:val="none" w:sz="0" w:space="0" w:color="auto"/>
                <w:bottom w:val="none" w:sz="0" w:space="0" w:color="auto"/>
                <w:right w:val="none" w:sz="0" w:space="0" w:color="auto"/>
              </w:divBdr>
            </w:div>
            <w:div w:id="734400228">
              <w:marLeft w:val="0"/>
              <w:marRight w:val="0"/>
              <w:marTop w:val="0"/>
              <w:marBottom w:val="0"/>
              <w:divBdr>
                <w:top w:val="none" w:sz="0" w:space="0" w:color="auto"/>
                <w:left w:val="none" w:sz="0" w:space="0" w:color="auto"/>
                <w:bottom w:val="none" w:sz="0" w:space="0" w:color="auto"/>
                <w:right w:val="none" w:sz="0" w:space="0" w:color="auto"/>
              </w:divBdr>
            </w:div>
            <w:div w:id="748314080">
              <w:marLeft w:val="0"/>
              <w:marRight w:val="0"/>
              <w:marTop w:val="0"/>
              <w:marBottom w:val="0"/>
              <w:divBdr>
                <w:top w:val="none" w:sz="0" w:space="0" w:color="auto"/>
                <w:left w:val="none" w:sz="0" w:space="0" w:color="auto"/>
                <w:bottom w:val="none" w:sz="0" w:space="0" w:color="auto"/>
                <w:right w:val="none" w:sz="0" w:space="0" w:color="auto"/>
              </w:divBdr>
            </w:div>
            <w:div w:id="790977944">
              <w:marLeft w:val="0"/>
              <w:marRight w:val="0"/>
              <w:marTop w:val="0"/>
              <w:marBottom w:val="0"/>
              <w:divBdr>
                <w:top w:val="none" w:sz="0" w:space="0" w:color="auto"/>
                <w:left w:val="none" w:sz="0" w:space="0" w:color="auto"/>
                <w:bottom w:val="none" w:sz="0" w:space="0" w:color="auto"/>
                <w:right w:val="none" w:sz="0" w:space="0" w:color="auto"/>
              </w:divBdr>
            </w:div>
            <w:div w:id="847984183">
              <w:marLeft w:val="0"/>
              <w:marRight w:val="0"/>
              <w:marTop w:val="0"/>
              <w:marBottom w:val="0"/>
              <w:divBdr>
                <w:top w:val="none" w:sz="0" w:space="0" w:color="auto"/>
                <w:left w:val="none" w:sz="0" w:space="0" w:color="auto"/>
                <w:bottom w:val="none" w:sz="0" w:space="0" w:color="auto"/>
                <w:right w:val="none" w:sz="0" w:space="0" w:color="auto"/>
              </w:divBdr>
            </w:div>
            <w:div w:id="983772475">
              <w:marLeft w:val="0"/>
              <w:marRight w:val="0"/>
              <w:marTop w:val="0"/>
              <w:marBottom w:val="0"/>
              <w:divBdr>
                <w:top w:val="none" w:sz="0" w:space="0" w:color="auto"/>
                <w:left w:val="none" w:sz="0" w:space="0" w:color="auto"/>
                <w:bottom w:val="none" w:sz="0" w:space="0" w:color="auto"/>
                <w:right w:val="none" w:sz="0" w:space="0" w:color="auto"/>
              </w:divBdr>
            </w:div>
            <w:div w:id="1112440002">
              <w:marLeft w:val="0"/>
              <w:marRight w:val="0"/>
              <w:marTop w:val="0"/>
              <w:marBottom w:val="0"/>
              <w:divBdr>
                <w:top w:val="none" w:sz="0" w:space="0" w:color="auto"/>
                <w:left w:val="none" w:sz="0" w:space="0" w:color="auto"/>
                <w:bottom w:val="none" w:sz="0" w:space="0" w:color="auto"/>
                <w:right w:val="none" w:sz="0" w:space="0" w:color="auto"/>
              </w:divBdr>
            </w:div>
            <w:div w:id="1113984453">
              <w:marLeft w:val="0"/>
              <w:marRight w:val="0"/>
              <w:marTop w:val="0"/>
              <w:marBottom w:val="0"/>
              <w:divBdr>
                <w:top w:val="none" w:sz="0" w:space="0" w:color="auto"/>
                <w:left w:val="none" w:sz="0" w:space="0" w:color="auto"/>
                <w:bottom w:val="none" w:sz="0" w:space="0" w:color="auto"/>
                <w:right w:val="none" w:sz="0" w:space="0" w:color="auto"/>
              </w:divBdr>
            </w:div>
            <w:div w:id="1116945898">
              <w:marLeft w:val="0"/>
              <w:marRight w:val="0"/>
              <w:marTop w:val="0"/>
              <w:marBottom w:val="0"/>
              <w:divBdr>
                <w:top w:val="none" w:sz="0" w:space="0" w:color="auto"/>
                <w:left w:val="none" w:sz="0" w:space="0" w:color="auto"/>
                <w:bottom w:val="none" w:sz="0" w:space="0" w:color="auto"/>
                <w:right w:val="none" w:sz="0" w:space="0" w:color="auto"/>
              </w:divBdr>
            </w:div>
            <w:div w:id="1135296840">
              <w:marLeft w:val="0"/>
              <w:marRight w:val="0"/>
              <w:marTop w:val="0"/>
              <w:marBottom w:val="0"/>
              <w:divBdr>
                <w:top w:val="none" w:sz="0" w:space="0" w:color="auto"/>
                <w:left w:val="none" w:sz="0" w:space="0" w:color="auto"/>
                <w:bottom w:val="none" w:sz="0" w:space="0" w:color="auto"/>
                <w:right w:val="none" w:sz="0" w:space="0" w:color="auto"/>
              </w:divBdr>
            </w:div>
            <w:div w:id="1151480520">
              <w:marLeft w:val="0"/>
              <w:marRight w:val="0"/>
              <w:marTop w:val="0"/>
              <w:marBottom w:val="0"/>
              <w:divBdr>
                <w:top w:val="none" w:sz="0" w:space="0" w:color="auto"/>
                <w:left w:val="none" w:sz="0" w:space="0" w:color="auto"/>
                <w:bottom w:val="none" w:sz="0" w:space="0" w:color="auto"/>
                <w:right w:val="none" w:sz="0" w:space="0" w:color="auto"/>
              </w:divBdr>
            </w:div>
            <w:div w:id="1158690600">
              <w:marLeft w:val="0"/>
              <w:marRight w:val="0"/>
              <w:marTop w:val="0"/>
              <w:marBottom w:val="0"/>
              <w:divBdr>
                <w:top w:val="none" w:sz="0" w:space="0" w:color="auto"/>
                <w:left w:val="none" w:sz="0" w:space="0" w:color="auto"/>
                <w:bottom w:val="none" w:sz="0" w:space="0" w:color="auto"/>
                <w:right w:val="none" w:sz="0" w:space="0" w:color="auto"/>
              </w:divBdr>
            </w:div>
            <w:div w:id="1179196868">
              <w:marLeft w:val="0"/>
              <w:marRight w:val="0"/>
              <w:marTop w:val="0"/>
              <w:marBottom w:val="0"/>
              <w:divBdr>
                <w:top w:val="none" w:sz="0" w:space="0" w:color="auto"/>
                <w:left w:val="none" w:sz="0" w:space="0" w:color="auto"/>
                <w:bottom w:val="none" w:sz="0" w:space="0" w:color="auto"/>
                <w:right w:val="none" w:sz="0" w:space="0" w:color="auto"/>
              </w:divBdr>
            </w:div>
            <w:div w:id="1261597548">
              <w:marLeft w:val="0"/>
              <w:marRight w:val="0"/>
              <w:marTop w:val="0"/>
              <w:marBottom w:val="0"/>
              <w:divBdr>
                <w:top w:val="none" w:sz="0" w:space="0" w:color="auto"/>
                <w:left w:val="none" w:sz="0" w:space="0" w:color="auto"/>
                <w:bottom w:val="none" w:sz="0" w:space="0" w:color="auto"/>
                <w:right w:val="none" w:sz="0" w:space="0" w:color="auto"/>
              </w:divBdr>
            </w:div>
            <w:div w:id="1296179852">
              <w:marLeft w:val="0"/>
              <w:marRight w:val="0"/>
              <w:marTop w:val="0"/>
              <w:marBottom w:val="0"/>
              <w:divBdr>
                <w:top w:val="none" w:sz="0" w:space="0" w:color="auto"/>
                <w:left w:val="none" w:sz="0" w:space="0" w:color="auto"/>
                <w:bottom w:val="none" w:sz="0" w:space="0" w:color="auto"/>
                <w:right w:val="none" w:sz="0" w:space="0" w:color="auto"/>
              </w:divBdr>
            </w:div>
            <w:div w:id="1349024958">
              <w:marLeft w:val="0"/>
              <w:marRight w:val="0"/>
              <w:marTop w:val="0"/>
              <w:marBottom w:val="0"/>
              <w:divBdr>
                <w:top w:val="none" w:sz="0" w:space="0" w:color="auto"/>
                <w:left w:val="none" w:sz="0" w:space="0" w:color="auto"/>
                <w:bottom w:val="none" w:sz="0" w:space="0" w:color="auto"/>
                <w:right w:val="none" w:sz="0" w:space="0" w:color="auto"/>
              </w:divBdr>
            </w:div>
            <w:div w:id="1356342236">
              <w:marLeft w:val="0"/>
              <w:marRight w:val="0"/>
              <w:marTop w:val="0"/>
              <w:marBottom w:val="0"/>
              <w:divBdr>
                <w:top w:val="none" w:sz="0" w:space="0" w:color="auto"/>
                <w:left w:val="none" w:sz="0" w:space="0" w:color="auto"/>
                <w:bottom w:val="none" w:sz="0" w:space="0" w:color="auto"/>
                <w:right w:val="none" w:sz="0" w:space="0" w:color="auto"/>
              </w:divBdr>
            </w:div>
            <w:div w:id="1440566898">
              <w:marLeft w:val="0"/>
              <w:marRight w:val="0"/>
              <w:marTop w:val="0"/>
              <w:marBottom w:val="0"/>
              <w:divBdr>
                <w:top w:val="none" w:sz="0" w:space="0" w:color="auto"/>
                <w:left w:val="none" w:sz="0" w:space="0" w:color="auto"/>
                <w:bottom w:val="none" w:sz="0" w:space="0" w:color="auto"/>
                <w:right w:val="none" w:sz="0" w:space="0" w:color="auto"/>
              </w:divBdr>
            </w:div>
            <w:div w:id="1456826736">
              <w:marLeft w:val="0"/>
              <w:marRight w:val="0"/>
              <w:marTop w:val="0"/>
              <w:marBottom w:val="0"/>
              <w:divBdr>
                <w:top w:val="none" w:sz="0" w:space="0" w:color="auto"/>
                <w:left w:val="none" w:sz="0" w:space="0" w:color="auto"/>
                <w:bottom w:val="none" w:sz="0" w:space="0" w:color="auto"/>
                <w:right w:val="none" w:sz="0" w:space="0" w:color="auto"/>
              </w:divBdr>
            </w:div>
            <w:div w:id="1515027684">
              <w:marLeft w:val="0"/>
              <w:marRight w:val="0"/>
              <w:marTop w:val="0"/>
              <w:marBottom w:val="0"/>
              <w:divBdr>
                <w:top w:val="none" w:sz="0" w:space="0" w:color="auto"/>
                <w:left w:val="none" w:sz="0" w:space="0" w:color="auto"/>
                <w:bottom w:val="none" w:sz="0" w:space="0" w:color="auto"/>
                <w:right w:val="none" w:sz="0" w:space="0" w:color="auto"/>
              </w:divBdr>
            </w:div>
            <w:div w:id="1580016998">
              <w:marLeft w:val="0"/>
              <w:marRight w:val="0"/>
              <w:marTop w:val="0"/>
              <w:marBottom w:val="0"/>
              <w:divBdr>
                <w:top w:val="none" w:sz="0" w:space="0" w:color="auto"/>
                <w:left w:val="none" w:sz="0" w:space="0" w:color="auto"/>
                <w:bottom w:val="none" w:sz="0" w:space="0" w:color="auto"/>
                <w:right w:val="none" w:sz="0" w:space="0" w:color="auto"/>
              </w:divBdr>
            </w:div>
            <w:div w:id="1594389558">
              <w:marLeft w:val="0"/>
              <w:marRight w:val="0"/>
              <w:marTop w:val="0"/>
              <w:marBottom w:val="0"/>
              <w:divBdr>
                <w:top w:val="none" w:sz="0" w:space="0" w:color="auto"/>
                <w:left w:val="none" w:sz="0" w:space="0" w:color="auto"/>
                <w:bottom w:val="none" w:sz="0" w:space="0" w:color="auto"/>
                <w:right w:val="none" w:sz="0" w:space="0" w:color="auto"/>
              </w:divBdr>
            </w:div>
            <w:div w:id="1685748130">
              <w:marLeft w:val="0"/>
              <w:marRight w:val="0"/>
              <w:marTop w:val="0"/>
              <w:marBottom w:val="0"/>
              <w:divBdr>
                <w:top w:val="none" w:sz="0" w:space="0" w:color="auto"/>
                <w:left w:val="none" w:sz="0" w:space="0" w:color="auto"/>
                <w:bottom w:val="none" w:sz="0" w:space="0" w:color="auto"/>
                <w:right w:val="none" w:sz="0" w:space="0" w:color="auto"/>
              </w:divBdr>
            </w:div>
            <w:div w:id="1690568168">
              <w:marLeft w:val="0"/>
              <w:marRight w:val="0"/>
              <w:marTop w:val="0"/>
              <w:marBottom w:val="0"/>
              <w:divBdr>
                <w:top w:val="none" w:sz="0" w:space="0" w:color="auto"/>
                <w:left w:val="none" w:sz="0" w:space="0" w:color="auto"/>
                <w:bottom w:val="none" w:sz="0" w:space="0" w:color="auto"/>
                <w:right w:val="none" w:sz="0" w:space="0" w:color="auto"/>
              </w:divBdr>
            </w:div>
            <w:div w:id="1751461619">
              <w:marLeft w:val="0"/>
              <w:marRight w:val="0"/>
              <w:marTop w:val="0"/>
              <w:marBottom w:val="0"/>
              <w:divBdr>
                <w:top w:val="none" w:sz="0" w:space="0" w:color="auto"/>
                <w:left w:val="none" w:sz="0" w:space="0" w:color="auto"/>
                <w:bottom w:val="none" w:sz="0" w:space="0" w:color="auto"/>
                <w:right w:val="none" w:sz="0" w:space="0" w:color="auto"/>
              </w:divBdr>
            </w:div>
            <w:div w:id="1766805160">
              <w:marLeft w:val="0"/>
              <w:marRight w:val="0"/>
              <w:marTop w:val="0"/>
              <w:marBottom w:val="0"/>
              <w:divBdr>
                <w:top w:val="none" w:sz="0" w:space="0" w:color="auto"/>
                <w:left w:val="none" w:sz="0" w:space="0" w:color="auto"/>
                <w:bottom w:val="none" w:sz="0" w:space="0" w:color="auto"/>
                <w:right w:val="none" w:sz="0" w:space="0" w:color="auto"/>
              </w:divBdr>
            </w:div>
            <w:div w:id="1794013808">
              <w:marLeft w:val="0"/>
              <w:marRight w:val="0"/>
              <w:marTop w:val="0"/>
              <w:marBottom w:val="0"/>
              <w:divBdr>
                <w:top w:val="none" w:sz="0" w:space="0" w:color="auto"/>
                <w:left w:val="none" w:sz="0" w:space="0" w:color="auto"/>
                <w:bottom w:val="none" w:sz="0" w:space="0" w:color="auto"/>
                <w:right w:val="none" w:sz="0" w:space="0" w:color="auto"/>
              </w:divBdr>
            </w:div>
            <w:div w:id="1807352956">
              <w:marLeft w:val="0"/>
              <w:marRight w:val="0"/>
              <w:marTop w:val="0"/>
              <w:marBottom w:val="0"/>
              <w:divBdr>
                <w:top w:val="none" w:sz="0" w:space="0" w:color="auto"/>
                <w:left w:val="none" w:sz="0" w:space="0" w:color="auto"/>
                <w:bottom w:val="none" w:sz="0" w:space="0" w:color="auto"/>
                <w:right w:val="none" w:sz="0" w:space="0" w:color="auto"/>
              </w:divBdr>
            </w:div>
            <w:div w:id="1861046653">
              <w:marLeft w:val="0"/>
              <w:marRight w:val="0"/>
              <w:marTop w:val="0"/>
              <w:marBottom w:val="0"/>
              <w:divBdr>
                <w:top w:val="none" w:sz="0" w:space="0" w:color="auto"/>
                <w:left w:val="none" w:sz="0" w:space="0" w:color="auto"/>
                <w:bottom w:val="none" w:sz="0" w:space="0" w:color="auto"/>
                <w:right w:val="none" w:sz="0" w:space="0" w:color="auto"/>
              </w:divBdr>
            </w:div>
            <w:div w:id="1957249938">
              <w:marLeft w:val="0"/>
              <w:marRight w:val="0"/>
              <w:marTop w:val="0"/>
              <w:marBottom w:val="0"/>
              <w:divBdr>
                <w:top w:val="none" w:sz="0" w:space="0" w:color="auto"/>
                <w:left w:val="none" w:sz="0" w:space="0" w:color="auto"/>
                <w:bottom w:val="none" w:sz="0" w:space="0" w:color="auto"/>
                <w:right w:val="none" w:sz="0" w:space="0" w:color="auto"/>
              </w:divBdr>
            </w:div>
            <w:div w:id="1994067172">
              <w:marLeft w:val="0"/>
              <w:marRight w:val="0"/>
              <w:marTop w:val="0"/>
              <w:marBottom w:val="0"/>
              <w:divBdr>
                <w:top w:val="none" w:sz="0" w:space="0" w:color="auto"/>
                <w:left w:val="none" w:sz="0" w:space="0" w:color="auto"/>
                <w:bottom w:val="none" w:sz="0" w:space="0" w:color="auto"/>
                <w:right w:val="none" w:sz="0" w:space="0" w:color="auto"/>
              </w:divBdr>
            </w:div>
            <w:div w:id="211558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1591">
      <w:bodyDiv w:val="1"/>
      <w:marLeft w:val="0"/>
      <w:marRight w:val="0"/>
      <w:marTop w:val="0"/>
      <w:marBottom w:val="0"/>
      <w:divBdr>
        <w:top w:val="none" w:sz="0" w:space="0" w:color="auto"/>
        <w:left w:val="none" w:sz="0" w:space="0" w:color="auto"/>
        <w:bottom w:val="none" w:sz="0" w:space="0" w:color="auto"/>
        <w:right w:val="none" w:sz="0" w:space="0" w:color="auto"/>
      </w:divBdr>
    </w:div>
    <w:div w:id="171845763">
      <w:bodyDiv w:val="1"/>
      <w:marLeft w:val="0"/>
      <w:marRight w:val="0"/>
      <w:marTop w:val="0"/>
      <w:marBottom w:val="0"/>
      <w:divBdr>
        <w:top w:val="none" w:sz="0" w:space="0" w:color="auto"/>
        <w:left w:val="none" w:sz="0" w:space="0" w:color="auto"/>
        <w:bottom w:val="none" w:sz="0" w:space="0" w:color="auto"/>
        <w:right w:val="none" w:sz="0" w:space="0" w:color="auto"/>
      </w:divBdr>
      <w:divsChild>
        <w:div w:id="449281648">
          <w:marLeft w:val="0"/>
          <w:marRight w:val="0"/>
          <w:marTop w:val="0"/>
          <w:marBottom w:val="0"/>
          <w:divBdr>
            <w:top w:val="none" w:sz="0" w:space="0" w:color="auto"/>
            <w:left w:val="none" w:sz="0" w:space="0" w:color="auto"/>
            <w:bottom w:val="none" w:sz="0" w:space="0" w:color="auto"/>
            <w:right w:val="none" w:sz="0" w:space="0" w:color="auto"/>
          </w:divBdr>
        </w:div>
        <w:div w:id="1279147466">
          <w:marLeft w:val="0"/>
          <w:marRight w:val="0"/>
          <w:marTop w:val="0"/>
          <w:marBottom w:val="0"/>
          <w:divBdr>
            <w:top w:val="none" w:sz="0" w:space="0" w:color="auto"/>
            <w:left w:val="none" w:sz="0" w:space="0" w:color="auto"/>
            <w:bottom w:val="none" w:sz="0" w:space="0" w:color="auto"/>
            <w:right w:val="none" w:sz="0" w:space="0" w:color="auto"/>
          </w:divBdr>
        </w:div>
      </w:divsChild>
    </w:div>
    <w:div w:id="303316097">
      <w:bodyDiv w:val="1"/>
      <w:marLeft w:val="0"/>
      <w:marRight w:val="0"/>
      <w:marTop w:val="0"/>
      <w:marBottom w:val="0"/>
      <w:divBdr>
        <w:top w:val="none" w:sz="0" w:space="0" w:color="auto"/>
        <w:left w:val="none" w:sz="0" w:space="0" w:color="auto"/>
        <w:bottom w:val="none" w:sz="0" w:space="0" w:color="auto"/>
        <w:right w:val="none" w:sz="0" w:space="0" w:color="auto"/>
      </w:divBdr>
    </w:div>
    <w:div w:id="348720843">
      <w:bodyDiv w:val="1"/>
      <w:marLeft w:val="0"/>
      <w:marRight w:val="0"/>
      <w:marTop w:val="0"/>
      <w:marBottom w:val="0"/>
      <w:divBdr>
        <w:top w:val="none" w:sz="0" w:space="0" w:color="auto"/>
        <w:left w:val="none" w:sz="0" w:space="0" w:color="auto"/>
        <w:bottom w:val="none" w:sz="0" w:space="0" w:color="auto"/>
        <w:right w:val="none" w:sz="0" w:space="0" w:color="auto"/>
      </w:divBdr>
    </w:div>
    <w:div w:id="401290456">
      <w:bodyDiv w:val="1"/>
      <w:marLeft w:val="0"/>
      <w:marRight w:val="0"/>
      <w:marTop w:val="0"/>
      <w:marBottom w:val="0"/>
      <w:divBdr>
        <w:top w:val="none" w:sz="0" w:space="0" w:color="auto"/>
        <w:left w:val="none" w:sz="0" w:space="0" w:color="auto"/>
        <w:bottom w:val="none" w:sz="0" w:space="0" w:color="auto"/>
        <w:right w:val="none" w:sz="0" w:space="0" w:color="auto"/>
      </w:divBdr>
      <w:divsChild>
        <w:div w:id="1047797477">
          <w:marLeft w:val="0"/>
          <w:marRight w:val="0"/>
          <w:marTop w:val="0"/>
          <w:marBottom w:val="0"/>
          <w:divBdr>
            <w:top w:val="none" w:sz="0" w:space="0" w:color="auto"/>
            <w:left w:val="none" w:sz="0" w:space="0" w:color="auto"/>
            <w:bottom w:val="none" w:sz="0" w:space="0" w:color="auto"/>
            <w:right w:val="none" w:sz="0" w:space="0" w:color="auto"/>
          </w:divBdr>
        </w:div>
        <w:div w:id="1279141861">
          <w:marLeft w:val="0"/>
          <w:marRight w:val="0"/>
          <w:marTop w:val="0"/>
          <w:marBottom w:val="0"/>
          <w:divBdr>
            <w:top w:val="none" w:sz="0" w:space="0" w:color="auto"/>
            <w:left w:val="none" w:sz="0" w:space="0" w:color="auto"/>
            <w:bottom w:val="none" w:sz="0" w:space="0" w:color="auto"/>
            <w:right w:val="none" w:sz="0" w:space="0" w:color="auto"/>
          </w:divBdr>
        </w:div>
      </w:divsChild>
    </w:div>
    <w:div w:id="551043675">
      <w:bodyDiv w:val="1"/>
      <w:marLeft w:val="0"/>
      <w:marRight w:val="0"/>
      <w:marTop w:val="0"/>
      <w:marBottom w:val="0"/>
      <w:divBdr>
        <w:top w:val="none" w:sz="0" w:space="0" w:color="auto"/>
        <w:left w:val="none" w:sz="0" w:space="0" w:color="auto"/>
        <w:bottom w:val="none" w:sz="0" w:space="0" w:color="auto"/>
        <w:right w:val="none" w:sz="0" w:space="0" w:color="auto"/>
      </w:divBdr>
    </w:div>
    <w:div w:id="690569377">
      <w:bodyDiv w:val="1"/>
      <w:marLeft w:val="0"/>
      <w:marRight w:val="0"/>
      <w:marTop w:val="0"/>
      <w:marBottom w:val="0"/>
      <w:divBdr>
        <w:top w:val="none" w:sz="0" w:space="0" w:color="auto"/>
        <w:left w:val="none" w:sz="0" w:space="0" w:color="auto"/>
        <w:bottom w:val="none" w:sz="0" w:space="0" w:color="auto"/>
        <w:right w:val="none" w:sz="0" w:space="0" w:color="auto"/>
      </w:divBdr>
    </w:div>
    <w:div w:id="724527763">
      <w:bodyDiv w:val="1"/>
      <w:marLeft w:val="0"/>
      <w:marRight w:val="0"/>
      <w:marTop w:val="0"/>
      <w:marBottom w:val="0"/>
      <w:divBdr>
        <w:top w:val="none" w:sz="0" w:space="0" w:color="auto"/>
        <w:left w:val="none" w:sz="0" w:space="0" w:color="auto"/>
        <w:bottom w:val="none" w:sz="0" w:space="0" w:color="auto"/>
        <w:right w:val="none" w:sz="0" w:space="0" w:color="auto"/>
      </w:divBdr>
    </w:div>
    <w:div w:id="820275912">
      <w:bodyDiv w:val="1"/>
      <w:marLeft w:val="0"/>
      <w:marRight w:val="0"/>
      <w:marTop w:val="0"/>
      <w:marBottom w:val="0"/>
      <w:divBdr>
        <w:top w:val="none" w:sz="0" w:space="0" w:color="auto"/>
        <w:left w:val="none" w:sz="0" w:space="0" w:color="auto"/>
        <w:bottom w:val="none" w:sz="0" w:space="0" w:color="auto"/>
        <w:right w:val="none" w:sz="0" w:space="0" w:color="auto"/>
      </w:divBdr>
      <w:divsChild>
        <w:div w:id="391775560">
          <w:marLeft w:val="0"/>
          <w:marRight w:val="0"/>
          <w:marTop w:val="0"/>
          <w:marBottom w:val="0"/>
          <w:divBdr>
            <w:top w:val="none" w:sz="0" w:space="0" w:color="auto"/>
            <w:left w:val="none" w:sz="0" w:space="0" w:color="auto"/>
            <w:bottom w:val="none" w:sz="0" w:space="0" w:color="auto"/>
            <w:right w:val="none" w:sz="0" w:space="0" w:color="auto"/>
          </w:divBdr>
        </w:div>
        <w:div w:id="1659111858">
          <w:marLeft w:val="0"/>
          <w:marRight w:val="0"/>
          <w:marTop w:val="0"/>
          <w:marBottom w:val="0"/>
          <w:divBdr>
            <w:top w:val="none" w:sz="0" w:space="0" w:color="auto"/>
            <w:left w:val="none" w:sz="0" w:space="0" w:color="auto"/>
            <w:bottom w:val="none" w:sz="0" w:space="0" w:color="auto"/>
            <w:right w:val="none" w:sz="0" w:space="0" w:color="auto"/>
          </w:divBdr>
        </w:div>
      </w:divsChild>
    </w:div>
    <w:div w:id="945651009">
      <w:bodyDiv w:val="1"/>
      <w:marLeft w:val="0"/>
      <w:marRight w:val="0"/>
      <w:marTop w:val="0"/>
      <w:marBottom w:val="0"/>
      <w:divBdr>
        <w:top w:val="none" w:sz="0" w:space="0" w:color="auto"/>
        <w:left w:val="none" w:sz="0" w:space="0" w:color="auto"/>
        <w:bottom w:val="none" w:sz="0" w:space="0" w:color="auto"/>
        <w:right w:val="none" w:sz="0" w:space="0" w:color="auto"/>
      </w:divBdr>
    </w:div>
    <w:div w:id="1009451915">
      <w:bodyDiv w:val="1"/>
      <w:marLeft w:val="0"/>
      <w:marRight w:val="0"/>
      <w:marTop w:val="0"/>
      <w:marBottom w:val="0"/>
      <w:divBdr>
        <w:top w:val="none" w:sz="0" w:space="0" w:color="auto"/>
        <w:left w:val="none" w:sz="0" w:space="0" w:color="auto"/>
        <w:bottom w:val="none" w:sz="0" w:space="0" w:color="auto"/>
        <w:right w:val="none" w:sz="0" w:space="0" w:color="auto"/>
      </w:divBdr>
    </w:div>
    <w:div w:id="1289969298">
      <w:bodyDiv w:val="1"/>
      <w:marLeft w:val="0"/>
      <w:marRight w:val="0"/>
      <w:marTop w:val="0"/>
      <w:marBottom w:val="0"/>
      <w:divBdr>
        <w:top w:val="none" w:sz="0" w:space="0" w:color="auto"/>
        <w:left w:val="none" w:sz="0" w:space="0" w:color="auto"/>
        <w:bottom w:val="none" w:sz="0" w:space="0" w:color="auto"/>
        <w:right w:val="none" w:sz="0" w:space="0" w:color="auto"/>
      </w:divBdr>
    </w:div>
    <w:div w:id="1483153317">
      <w:bodyDiv w:val="1"/>
      <w:marLeft w:val="0"/>
      <w:marRight w:val="0"/>
      <w:marTop w:val="0"/>
      <w:marBottom w:val="0"/>
      <w:divBdr>
        <w:top w:val="none" w:sz="0" w:space="0" w:color="auto"/>
        <w:left w:val="none" w:sz="0" w:space="0" w:color="auto"/>
        <w:bottom w:val="none" w:sz="0" w:space="0" w:color="auto"/>
        <w:right w:val="none" w:sz="0" w:space="0" w:color="auto"/>
      </w:divBdr>
    </w:div>
    <w:div w:id="1903907559">
      <w:bodyDiv w:val="1"/>
      <w:marLeft w:val="0"/>
      <w:marRight w:val="0"/>
      <w:marTop w:val="0"/>
      <w:marBottom w:val="0"/>
      <w:divBdr>
        <w:top w:val="none" w:sz="0" w:space="0" w:color="auto"/>
        <w:left w:val="none" w:sz="0" w:space="0" w:color="auto"/>
        <w:bottom w:val="none" w:sz="0" w:space="0" w:color="auto"/>
        <w:right w:val="none" w:sz="0" w:space="0" w:color="auto"/>
      </w:divBdr>
    </w:div>
    <w:div w:id="2101102198">
      <w:bodyDiv w:val="1"/>
      <w:marLeft w:val="0"/>
      <w:marRight w:val="0"/>
      <w:marTop w:val="0"/>
      <w:marBottom w:val="0"/>
      <w:divBdr>
        <w:top w:val="none" w:sz="0" w:space="0" w:color="auto"/>
        <w:left w:val="none" w:sz="0" w:space="0" w:color="auto"/>
        <w:bottom w:val="none" w:sz="0" w:space="0" w:color="auto"/>
        <w:right w:val="none" w:sz="0" w:space="0" w:color="auto"/>
      </w:divBdr>
    </w:div>
    <w:div w:id="211959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B72726-CA80-4104-A1CD-D851DD8A0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15</Pages>
  <Words>3309</Words>
  <Characters>18865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22130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Kerem Erkut Çiftlikçi</cp:lastModifiedBy>
  <cp:revision>2</cp:revision>
  <cp:lastPrinted>2013-04-02T03:00:00Z</cp:lastPrinted>
  <dcterms:created xsi:type="dcterms:W3CDTF">2013-04-02T02:33:00Z</dcterms:created>
  <dcterms:modified xsi:type="dcterms:W3CDTF">2026-02-15T00:52:00Z</dcterms:modified>
</cp:coreProperties>
</file>