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Use Case UC7: Move the Noble Phantasm Horizontally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Scope:</w:t>
      </w:r>
      <w:r w:rsidDel="00000000" w:rsidR="00000000" w:rsidRPr="00000000">
        <w:rPr>
          <w:rtl w:val="0"/>
        </w:rPr>
        <w:t xml:space="preserve"> “Need for Spear”</w:t>
        <w:br w:type="textWrapping"/>
      </w:r>
      <w:r w:rsidDel="00000000" w:rsidR="00000000" w:rsidRPr="00000000">
        <w:rPr>
          <w:b w:val="1"/>
          <w:rtl w:val="0"/>
        </w:rPr>
        <w:t xml:space="preserve">Level:</w:t>
      </w:r>
      <w:r w:rsidDel="00000000" w:rsidR="00000000" w:rsidRPr="00000000">
        <w:rPr>
          <w:rtl w:val="0"/>
        </w:rPr>
        <w:t xml:space="preserve"> User Goal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Primary Actor:</w:t>
      </w:r>
      <w:r w:rsidDel="00000000" w:rsidR="00000000" w:rsidRPr="00000000">
        <w:rPr>
          <w:rtl w:val="0"/>
        </w:rPr>
        <w:t xml:space="preserve"> Player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Stakeholders and Interests: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Player: Wants to move the Noble Phantasm horizontally.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Preconditions: </w:t>
      </w:r>
      <w:r w:rsidDel="00000000" w:rsidR="00000000" w:rsidRPr="00000000">
        <w:rPr>
          <w:rtl w:val="0"/>
        </w:rPr>
        <w:t xml:space="preserve">Player has enough chances to be able to play the game.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Success Guarantee (Postconditions): </w:t>
      </w:r>
      <w:r w:rsidDel="00000000" w:rsidR="00000000" w:rsidRPr="00000000">
        <w:rPr>
          <w:rtl w:val="0"/>
        </w:rPr>
        <w:t xml:space="preserve">Noble Phantasm moves in the direction of the input. If pressed and released, moves only by an offset of L/2 with a speed of L/second, where L is the length of the Noble Phantasm. If pressed down, it moves with the speed of 2*L/second. (details in supplementary specification)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Main Success Scenario: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Player moves the Noble Phantasm in the direction specified by input, following the rules of speed.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When at the frame’s end, it does not continue to move in that direction.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When Player loses a chance, it stops until the game starts again.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Extensions: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1a. Player picks up a magical ability that modifies Noble Phantasm’s moving speed: (reference)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Player uses the ability.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Noble Phantasm’s moving speed is altered for a duration.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Player picks up the same ability.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Player uses the ability before the previous ability’s duration is finished.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Duration is restored.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Duration ends and moving speed reverts back to normal.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Frequency of Occurrence: </w:t>
      </w:r>
      <w:r w:rsidDel="00000000" w:rsidR="00000000" w:rsidRPr="00000000">
        <w:rPr>
          <w:rtl w:val="0"/>
        </w:rPr>
        <w:t xml:space="preserve">Nearly Continuous.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Open Issues: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 None.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