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UC10: Use a Magical 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Subfunction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Uses an ability in the ability pack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needs to have at least 1 ability in the pack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Player uses one of the abilities in its pack. Player gets benefits according to the ability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Player has an ability in the ability pack.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Player either presses the ability logo on the screen or presses the corresponding key on the keyboard for the ability that he/she wants to activate.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The ability gets activated and Player gets benefits accordingly.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The ability pack is updated after activation.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  <w:rPr/>
      </w:pPr>
      <w:r w:rsidDel="00000000" w:rsidR="00000000" w:rsidRPr="00000000">
        <w:rPr>
          <w:rtl w:val="0"/>
        </w:rPr>
        <w:t xml:space="preserve">The benefits of the ability end after 30 seconds.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3a. Player activates the “Unstoppable Enchanted Sphere”: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Enchanted Sphere becomes unstoppable and destroys any particle through which it passes.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3b. Player activates the “Noble Phantasm Expansion”: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length of the Noble Phantasm gets doubled.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3c. Player activates the “Magical Hex”: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cannons that can fire magical hexes which have the same effect of Enchanted Sphere on particles appear on both ends of the Noble Phantasm.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3d. Player actives the “Chance Giving Ability”: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Player’s chances increase by 1 if Player has less than 3 chances.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5a. Player has already activated the same ability.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seconds gets added to the remaining duration of the previously used ability.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5b. Player has already activated a different ability.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uses both abilities concurrently.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duration of the previously used ability does not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Occasionally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None.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