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DDC2A" w14:textId="040AD41F" w:rsidR="00730EC4" w:rsidRPr="00730EC4" w:rsidRDefault="00730EC4" w:rsidP="00730EC4">
      <w:pPr>
        <w:jc w:val="center"/>
        <w:rPr>
          <w:b/>
          <w:bCs/>
          <w:sz w:val="36"/>
          <w:szCs w:val="32"/>
        </w:rPr>
      </w:pPr>
      <w:r w:rsidRPr="00440AF5">
        <w:rPr>
          <w:b/>
          <w:bCs/>
          <w:sz w:val="36"/>
          <w:szCs w:val="32"/>
        </w:rPr>
        <w:t>Programming Guide</w:t>
      </w:r>
    </w:p>
    <w:p w14:paraId="6D8F2221" w14:textId="78CB0445" w:rsidR="00CF1432" w:rsidRDefault="00CF1432" w:rsidP="00CF1432">
      <w:commentRangeStart w:id="0"/>
      <w:r>
        <w:t>After every step the current EEG set needs to be stored within the workspace</w:t>
      </w:r>
      <w:commentRangeEnd w:id="0"/>
      <w:r>
        <w:rPr>
          <w:rStyle w:val="CommentReference"/>
        </w:rPr>
        <w:commentReference w:id="0"/>
      </w:r>
    </w:p>
    <w:p w14:paraId="4E8CB485" w14:textId="554FB2E7" w:rsidR="00E35544" w:rsidRDefault="00730EC4" w:rsidP="00730EC4">
      <w:pPr>
        <w:pStyle w:val="ListParagraph"/>
        <w:numPr>
          <w:ilvl w:val="0"/>
          <w:numId w:val="1"/>
        </w:numPr>
      </w:pPr>
      <w:r>
        <w:t>Import Data</w:t>
      </w:r>
    </w:p>
    <w:p w14:paraId="6B7F703E" w14:textId="69110E78" w:rsidR="00730EC4" w:rsidRDefault="00730EC4" w:rsidP="00730EC4">
      <w:pPr>
        <w:pStyle w:val="ListParagraph"/>
        <w:numPr>
          <w:ilvl w:val="1"/>
          <w:numId w:val="1"/>
        </w:numPr>
      </w:pPr>
      <w:r>
        <w:t>Save as new data set with name ‘ADHD/Control’ ‘P(participant)’ ‘P#’ (</w:t>
      </w:r>
      <w:proofErr w:type="spellStart"/>
      <w:r>
        <w:t>eg.</w:t>
      </w:r>
      <w:proofErr w:type="spellEnd"/>
      <w:r>
        <w:t xml:space="preserve"> v3p = 3)</w:t>
      </w:r>
    </w:p>
    <w:p w14:paraId="11976844" w14:textId="5B78FA68" w:rsidR="00730EC4" w:rsidRDefault="00730EC4" w:rsidP="00730EC4">
      <w:pPr>
        <w:pStyle w:val="ListParagraph"/>
        <w:numPr>
          <w:ilvl w:val="1"/>
          <w:numId w:val="1"/>
        </w:numPr>
      </w:pPr>
      <w:r>
        <w:t>Sampling rate of 128</w:t>
      </w:r>
    </w:p>
    <w:p w14:paraId="570550F9" w14:textId="3B084669" w:rsidR="00730EC4" w:rsidRDefault="00730EC4" w:rsidP="00730EC4">
      <w:pPr>
        <w:pStyle w:val="ListParagraph"/>
        <w:numPr>
          <w:ilvl w:val="1"/>
          <w:numId w:val="1"/>
        </w:numPr>
      </w:pPr>
      <w:r>
        <w:t xml:space="preserve">Import electrode locations </w:t>
      </w:r>
      <w:r w:rsidRPr="00730EC4">
        <w:t>Standard-10-20-Cap19new.ced</w:t>
      </w:r>
    </w:p>
    <w:p w14:paraId="50BFCEC3" w14:textId="61473FA1" w:rsidR="00730EC4" w:rsidRDefault="00730EC4" w:rsidP="00730EC4">
      <w:pPr>
        <w:pStyle w:val="ListParagraph"/>
        <w:numPr>
          <w:ilvl w:val="0"/>
          <w:numId w:val="1"/>
        </w:numPr>
      </w:pPr>
      <w:r>
        <w:t>Save externally for future reference</w:t>
      </w:r>
    </w:p>
    <w:p w14:paraId="11463090" w14:textId="458C5160" w:rsidR="00730EC4" w:rsidRDefault="00730EC4" w:rsidP="00730EC4">
      <w:pPr>
        <w:pStyle w:val="ListParagraph"/>
        <w:numPr>
          <w:ilvl w:val="0"/>
          <w:numId w:val="1"/>
        </w:numPr>
      </w:pPr>
      <w:commentRangeStart w:id="1"/>
      <w:r>
        <w:t xml:space="preserve">Run </w:t>
      </w:r>
      <w:proofErr w:type="spellStart"/>
      <w:r>
        <w:t>pop_clean_rawdata</w:t>
      </w:r>
      <w:proofErr w:type="spellEnd"/>
      <w:r>
        <w:t xml:space="preserve"> with default settings but burst criterion off</w:t>
      </w:r>
      <w:commentRangeEnd w:id="1"/>
      <w:r>
        <w:rPr>
          <w:rStyle w:val="CommentReference"/>
        </w:rPr>
        <w:commentReference w:id="1"/>
      </w:r>
    </w:p>
    <w:p w14:paraId="22E4AC86" w14:textId="0560FB3A" w:rsidR="00730EC4" w:rsidRDefault="00730EC4" w:rsidP="00730EC4">
      <w:pPr>
        <w:pStyle w:val="ListParagraph"/>
        <w:numPr>
          <w:ilvl w:val="0"/>
          <w:numId w:val="1"/>
        </w:numPr>
      </w:pPr>
      <w:r>
        <w:t>Re-reference data to average</w:t>
      </w:r>
    </w:p>
    <w:p w14:paraId="5F97B84D" w14:textId="1C0A8B18" w:rsidR="00730EC4" w:rsidRDefault="00730EC4" w:rsidP="00730EC4">
      <w:pPr>
        <w:pStyle w:val="ListParagraph"/>
        <w:numPr>
          <w:ilvl w:val="0"/>
          <w:numId w:val="1"/>
        </w:numPr>
      </w:pPr>
      <w:r>
        <w:t>Save externally for future reference</w:t>
      </w:r>
    </w:p>
    <w:p w14:paraId="37B46234" w14:textId="0BB6DB1A" w:rsidR="00730EC4" w:rsidRDefault="00730EC4" w:rsidP="00730EC4">
      <w:pPr>
        <w:ind w:firstLine="0"/>
      </w:pPr>
      <w:r>
        <w:t>ICA:</w:t>
      </w:r>
    </w:p>
    <w:p w14:paraId="00081A62" w14:textId="5653B0C5" w:rsidR="00730EC4" w:rsidRDefault="00730EC4" w:rsidP="00730EC4">
      <w:pPr>
        <w:pStyle w:val="ListParagraph"/>
        <w:numPr>
          <w:ilvl w:val="0"/>
          <w:numId w:val="1"/>
        </w:numPr>
      </w:pPr>
      <w:commentRangeStart w:id="2"/>
      <w:r>
        <w:t xml:space="preserve">Run </w:t>
      </w:r>
      <w:proofErr w:type="spellStart"/>
      <w:r>
        <w:t>pop_eegfiltnew</w:t>
      </w:r>
      <w:proofErr w:type="spellEnd"/>
      <w:r>
        <w:t xml:space="preserve"> with a low cut </w:t>
      </w:r>
      <w:proofErr w:type="gramStart"/>
      <w:r>
        <w:t>off of</w:t>
      </w:r>
      <w:proofErr w:type="gramEnd"/>
      <w:r>
        <w:t xml:space="preserve"> 1 Hz</w:t>
      </w:r>
      <w:commentRangeEnd w:id="2"/>
      <w:r w:rsidR="00CF1432">
        <w:rPr>
          <w:rStyle w:val="CommentReference"/>
        </w:rPr>
        <w:commentReference w:id="2"/>
      </w:r>
    </w:p>
    <w:p w14:paraId="30B614D9" w14:textId="77777777" w:rsidR="00CF1432" w:rsidRDefault="00730EC4" w:rsidP="00730EC4">
      <w:pPr>
        <w:pStyle w:val="ListParagraph"/>
        <w:numPr>
          <w:ilvl w:val="0"/>
          <w:numId w:val="1"/>
        </w:numPr>
      </w:pPr>
      <w:r>
        <w:t xml:space="preserve">Run </w:t>
      </w:r>
      <w:proofErr w:type="spellStart"/>
      <w:r>
        <w:t>Pop_runica</w:t>
      </w:r>
      <w:proofErr w:type="spellEnd"/>
      <w:r w:rsidR="00CF1432">
        <w:t xml:space="preserve"> with channels equal to (19 – channels removed in </w:t>
      </w:r>
      <w:proofErr w:type="spellStart"/>
      <w:r w:rsidR="00CF1432">
        <w:t>pop_clean_rawdata</w:t>
      </w:r>
      <w:proofErr w:type="spellEnd"/>
      <w:r w:rsidR="00CF1432">
        <w:t xml:space="preserve">) + 1 </w:t>
      </w:r>
    </w:p>
    <w:p w14:paraId="5E7455B3" w14:textId="77777777" w:rsidR="00CF1432" w:rsidRDefault="00CF1432" w:rsidP="00730EC4">
      <w:pPr>
        <w:pStyle w:val="ListParagraph"/>
        <w:numPr>
          <w:ilvl w:val="0"/>
          <w:numId w:val="1"/>
        </w:numPr>
      </w:pPr>
      <w:r>
        <w:t>Save externally for future reference</w:t>
      </w:r>
    </w:p>
    <w:p w14:paraId="25C708DE" w14:textId="19FD19AD" w:rsidR="00730EC4" w:rsidRDefault="00CF1432" w:rsidP="00730EC4">
      <w:pPr>
        <w:pStyle w:val="ListParagraph"/>
        <w:numPr>
          <w:ilvl w:val="0"/>
          <w:numId w:val="1"/>
        </w:numPr>
      </w:pPr>
      <w:proofErr w:type="gramStart"/>
      <w:r>
        <w:t>Transfer  ICA</w:t>
      </w:r>
      <w:proofErr w:type="gramEnd"/>
      <w:r>
        <w:t xml:space="preserve"> weights to dataset saved immediately after the first re-referencing</w:t>
      </w:r>
    </w:p>
    <w:p w14:paraId="21A3232A" w14:textId="1DFB81F2" w:rsidR="00CF1432" w:rsidRDefault="00CF1432" w:rsidP="00CF1432">
      <w:pPr>
        <w:pStyle w:val="ListParagraph"/>
        <w:numPr>
          <w:ilvl w:val="1"/>
          <w:numId w:val="1"/>
        </w:numPr>
      </w:pPr>
      <w:proofErr w:type="spellStart"/>
      <w:r>
        <w:t>Pop_editset</w:t>
      </w:r>
      <w:proofErr w:type="spellEnd"/>
      <w:r>
        <w:t xml:space="preserve"> ‘</w:t>
      </w:r>
      <w:proofErr w:type="spellStart"/>
      <w:r>
        <w:t>icaweights</w:t>
      </w:r>
      <w:proofErr w:type="spellEnd"/>
      <w:r>
        <w:t>’</w:t>
      </w:r>
    </w:p>
    <w:p w14:paraId="0E220A5E" w14:textId="1B758C4E" w:rsidR="00CF1432" w:rsidRDefault="00CF1432" w:rsidP="00CF1432">
      <w:pPr>
        <w:pStyle w:val="ListParagraph"/>
        <w:numPr>
          <w:ilvl w:val="0"/>
          <w:numId w:val="1"/>
        </w:numPr>
      </w:pPr>
      <w:r>
        <w:t>Run ICA label</w:t>
      </w:r>
    </w:p>
    <w:p w14:paraId="398103C6" w14:textId="206CEF38" w:rsidR="00CF1432" w:rsidRDefault="00CF1432" w:rsidP="00CF1432">
      <w:pPr>
        <w:pStyle w:val="ListParagraph"/>
        <w:numPr>
          <w:ilvl w:val="0"/>
          <w:numId w:val="1"/>
        </w:numPr>
      </w:pPr>
      <w:r>
        <w:t>Save dataset for future reference</w:t>
      </w:r>
    </w:p>
    <w:p w14:paraId="21E056DB" w14:textId="1EB14E50" w:rsidR="00CF1432" w:rsidRDefault="00CF1432" w:rsidP="00CF1432">
      <w:pPr>
        <w:ind w:firstLine="0"/>
      </w:pPr>
      <w:r>
        <w:t>Blink ERP:</w:t>
      </w:r>
    </w:p>
    <w:p w14:paraId="59AB30CD" w14:textId="0BC67817" w:rsidR="00810112" w:rsidRDefault="00CF1432" w:rsidP="00810112">
      <w:pPr>
        <w:pStyle w:val="ListParagraph"/>
        <w:numPr>
          <w:ilvl w:val="0"/>
          <w:numId w:val="1"/>
        </w:numPr>
      </w:pPr>
      <w:r>
        <w:t xml:space="preserve">Run code for the </w:t>
      </w:r>
      <w:r w:rsidR="00810112">
        <w:t>identification of individual blink locations</w:t>
      </w:r>
    </w:p>
    <w:p w14:paraId="217EB6DE" w14:textId="57A2CEAD" w:rsidR="00810112" w:rsidRDefault="00810112" w:rsidP="00810112">
      <w:pPr>
        <w:pStyle w:val="ListParagraph"/>
        <w:numPr>
          <w:ilvl w:val="1"/>
          <w:numId w:val="1"/>
        </w:numPr>
      </w:pPr>
      <w:r>
        <w:t>Extract Temporal location</w:t>
      </w:r>
    </w:p>
    <w:p w14:paraId="6B88293F" w14:textId="0C642842" w:rsidR="00810112" w:rsidRDefault="00810112" w:rsidP="00810112">
      <w:pPr>
        <w:pStyle w:val="ListParagraph"/>
        <w:numPr>
          <w:ilvl w:val="1"/>
          <w:numId w:val="1"/>
        </w:numPr>
      </w:pPr>
      <w:r>
        <w:lastRenderedPageBreak/>
        <w:t>Save</w:t>
      </w:r>
    </w:p>
    <w:p w14:paraId="500AECFA" w14:textId="27465400" w:rsidR="00810112" w:rsidRDefault="00810112" w:rsidP="00810112">
      <w:pPr>
        <w:pStyle w:val="ListParagraph"/>
        <w:numPr>
          <w:ilvl w:val="1"/>
          <w:numId w:val="1"/>
        </w:numPr>
      </w:pPr>
      <w:commentRangeStart w:id="3"/>
      <w:r>
        <w:t>Convert to range (50ms before and 100ms after)</w:t>
      </w:r>
      <w:commentRangeEnd w:id="3"/>
      <w:r>
        <w:rPr>
          <w:rStyle w:val="CommentReference"/>
        </w:rPr>
        <w:commentReference w:id="3"/>
      </w:r>
    </w:p>
    <w:p w14:paraId="7B313B9E" w14:textId="3AE8FCA8" w:rsidR="00810112" w:rsidRDefault="00810112" w:rsidP="00810112">
      <w:pPr>
        <w:pStyle w:val="ListParagraph"/>
        <w:numPr>
          <w:ilvl w:val="1"/>
          <w:numId w:val="1"/>
        </w:numPr>
      </w:pPr>
      <w:r>
        <w:t>Save</w:t>
      </w:r>
    </w:p>
    <w:p w14:paraId="43194BFF" w14:textId="10D54033" w:rsidR="00810112" w:rsidRDefault="00810112" w:rsidP="00810112">
      <w:pPr>
        <w:pStyle w:val="ListParagraph"/>
        <w:numPr>
          <w:ilvl w:val="0"/>
          <w:numId w:val="1"/>
        </w:numPr>
      </w:pPr>
      <w:r>
        <w:t>Import back into original file creating specific epochs</w:t>
      </w:r>
    </w:p>
    <w:p w14:paraId="5D025D9D" w14:textId="1A7A57F1" w:rsidR="00810112" w:rsidRDefault="00810112" w:rsidP="00810112">
      <w:pPr>
        <w:pStyle w:val="ListParagraph"/>
        <w:numPr>
          <w:ilvl w:val="0"/>
          <w:numId w:val="1"/>
        </w:numPr>
      </w:pPr>
      <w:r>
        <w:t>Save dataset comprised of said epochs externally for future analysis</w:t>
      </w:r>
    </w:p>
    <w:p w14:paraId="419A48E3" w14:textId="65E295E0" w:rsidR="00810112" w:rsidRDefault="00810112" w:rsidP="00810112">
      <w:pPr>
        <w:ind w:firstLine="0"/>
      </w:pPr>
      <w:r>
        <w:t>ICA:</w:t>
      </w:r>
    </w:p>
    <w:p w14:paraId="52BB94A2" w14:textId="7F495D6E" w:rsidR="00810112" w:rsidRDefault="00810112" w:rsidP="00810112">
      <w:pPr>
        <w:pStyle w:val="ListParagraph"/>
        <w:numPr>
          <w:ilvl w:val="0"/>
          <w:numId w:val="1"/>
        </w:numPr>
      </w:pPr>
      <w:r>
        <w:t>Returning to ICA label, flag artefacts for rejection using either .95 or .9 confidence intervals</w:t>
      </w:r>
    </w:p>
    <w:p w14:paraId="2446B230" w14:textId="59B034E9" w:rsidR="00810112" w:rsidRDefault="00810112" w:rsidP="00810112">
      <w:pPr>
        <w:pStyle w:val="ListParagraph"/>
        <w:numPr>
          <w:ilvl w:val="0"/>
          <w:numId w:val="1"/>
        </w:numPr>
      </w:pPr>
      <w:r>
        <w:t>Reject artefacts</w:t>
      </w:r>
    </w:p>
    <w:p w14:paraId="3A2423AA" w14:textId="4023D929" w:rsidR="00810112" w:rsidRDefault="00810112" w:rsidP="00810112">
      <w:pPr>
        <w:pStyle w:val="ListParagraph"/>
        <w:numPr>
          <w:ilvl w:val="0"/>
          <w:numId w:val="1"/>
        </w:numPr>
      </w:pPr>
      <w:r>
        <w:t>Save Externally for future reference</w:t>
      </w:r>
    </w:p>
    <w:p w14:paraId="7C712CBA" w14:textId="6E08A6BA" w:rsidR="00810112" w:rsidRDefault="00810112" w:rsidP="00810112">
      <w:pPr>
        <w:pStyle w:val="ListParagraph"/>
        <w:numPr>
          <w:ilvl w:val="0"/>
          <w:numId w:val="1"/>
        </w:numPr>
      </w:pPr>
      <w:commentRangeStart w:id="4"/>
      <w:r>
        <w:t>Re-reference to average</w:t>
      </w:r>
      <w:commentRangeEnd w:id="4"/>
      <w:r>
        <w:rPr>
          <w:rStyle w:val="CommentReference"/>
        </w:rPr>
        <w:commentReference w:id="4"/>
      </w:r>
    </w:p>
    <w:p w14:paraId="2717A910" w14:textId="72F308BB" w:rsidR="00810112" w:rsidRDefault="00810112" w:rsidP="00810112">
      <w:pPr>
        <w:pStyle w:val="ListParagraph"/>
        <w:numPr>
          <w:ilvl w:val="0"/>
          <w:numId w:val="1"/>
        </w:numPr>
      </w:pPr>
      <w:r>
        <w:t>Save Externally for future reference</w:t>
      </w:r>
    </w:p>
    <w:p w14:paraId="33911DBE" w14:textId="2FC4CB31" w:rsidR="00810112" w:rsidRDefault="00810112" w:rsidP="00810112">
      <w:pPr>
        <w:pStyle w:val="ListParagraph"/>
        <w:numPr>
          <w:ilvl w:val="0"/>
          <w:numId w:val="1"/>
        </w:numPr>
      </w:pPr>
      <w:commentRangeStart w:id="5"/>
      <w:r>
        <w:t>Run Low/High pass filters at .5 &amp; 60 Hz</w:t>
      </w:r>
      <w:commentRangeEnd w:id="5"/>
      <w:r>
        <w:rPr>
          <w:rStyle w:val="CommentReference"/>
        </w:rPr>
        <w:commentReference w:id="5"/>
      </w:r>
    </w:p>
    <w:p w14:paraId="35008D5C" w14:textId="0C913492" w:rsidR="00810112" w:rsidRDefault="00810112" w:rsidP="00810112">
      <w:pPr>
        <w:pStyle w:val="ListParagraph"/>
        <w:numPr>
          <w:ilvl w:val="0"/>
          <w:numId w:val="1"/>
        </w:numPr>
      </w:pPr>
      <w:r>
        <w:t>Save Final File for Analysis</w:t>
      </w:r>
    </w:p>
    <w:p w14:paraId="2B29C897" w14:textId="43AE4E49" w:rsidR="00810112" w:rsidRPr="00810112" w:rsidRDefault="00810112" w:rsidP="00810112">
      <w:pPr>
        <w:ind w:firstLine="0"/>
        <w:rPr>
          <w:b/>
          <w:bCs/>
          <w:sz w:val="32"/>
          <w:szCs w:val="28"/>
        </w:rPr>
      </w:pPr>
      <w:r w:rsidRPr="00810112">
        <w:rPr>
          <w:b/>
          <w:bCs/>
          <w:sz w:val="32"/>
          <w:szCs w:val="28"/>
        </w:rPr>
        <w:t>Analysis Prep:</w:t>
      </w:r>
    </w:p>
    <w:p w14:paraId="56799F51" w14:textId="1C77346B" w:rsidR="00810112" w:rsidRDefault="00810112" w:rsidP="00810112">
      <w:pPr>
        <w:ind w:firstLine="0"/>
      </w:pPr>
      <w:r>
        <w:t>Microstate Generation:</w:t>
      </w:r>
    </w:p>
    <w:p w14:paraId="02290435" w14:textId="34848FAE" w:rsidR="00810112" w:rsidRDefault="00810112" w:rsidP="00810112">
      <w:pPr>
        <w:ind w:firstLine="0"/>
      </w:pPr>
      <w:r>
        <w:t>ERP Analysis:</w:t>
      </w:r>
    </w:p>
    <w:p w14:paraId="2A86DD18" w14:textId="77777777" w:rsidR="00E66A11" w:rsidRPr="00E66A11" w:rsidRDefault="00E66A11" w:rsidP="00E66A11">
      <w:pPr>
        <w:ind w:firstLine="0"/>
        <w:rPr>
          <w:b/>
          <w:bCs/>
        </w:rPr>
      </w:pPr>
      <w:r w:rsidRPr="00E66A11">
        <w:rPr>
          <w:b/>
          <w:bCs/>
        </w:rPr>
        <w:fldChar w:fldCharType="begin"/>
      </w:r>
      <w:r w:rsidRPr="00E66A11">
        <w:rPr>
          <w:b/>
          <w:bCs/>
        </w:rPr>
        <w:instrText xml:space="preserve"> ADDIN ZOTERO_ITEM CSL_CITATION {"citationID":"GNowTAVr","properties":{"formattedCitation":"(Cho et al., 2015; Deng et al., 2024; Klug &amp; Gramann, 2021; Nagabhushan Kalburgi et al., 2024; Pant et al., 2024)","plainCitation":"(Cho et al., 2015; Deng et al., 2024; Klug &amp; Gramann, 2021; Nagabhushan Kalburgi et al., 2024; Pant et al., 2024)","noteIndex":0},"citationItems":[{"id":725,"uris":["http://zotero.org/users/11882939/items/Y47H4X6M"],"itemData":{"id":725,"type":"article-journal","abstract":"Given the importance of gamma oscillations in normal and disturbed cognition, there has been growing interest in their developmental trajectory. In the current study, age-related changes in sensory cortical gamma were studied using the auditory steady-state response (ASSR), indexing cortical activity entrained to a periodic auditory stimulus. A large sample (n = 188) aged 8–22 years had electroencephalography recording of ASSR during 20-, 30-, and 40-Hz click trains, analyzed for evoked amplitude, phase-locking factor (PLF) and cross-frequency coupling (CFC) with lower frequency oscillations. Both 40-Hz evoked power and PLF increased monotonically from 8 through 16 years, and subsequently decreased toward ages 20–22 years. CFC followed a similar pattern, with strongest age-related modulation of 40-Hz amplitude by the phase of delta oscillations. In contrast, the evoked power, PLF and CFC for the 20- and 30-Hz stimulation were distinct from the 40-Hz condition, with flat or decreasing profiles from childhood to early adulthood. The inverted U-shaped developmental trajectory of gamma oscillations may be consistent with interacting maturational processes—such as increasing fast GABA inhibition that enhances gamma activity and synaptic pruning that decreases gamma activity—that may continue from childhood through to adulthood.","container-title":"Cerebral Cortex","DOI":"10.1093/cercor/bht341","ISSN":"1047-3211","issue":"6","journalAbbreviation":"Cerebral Cortex","page":"1509-1518","title":"Development of Sensory Gamma Oscillations and Cross-Frequency Coupling from Childhood to Early Adulthood","volume":"25","author":[{"family":"Cho","given":"Raymond Y."},{"family":"Walker","given":"Christopher P."},{"family":"Polizzotto","given":"Nicola R."},{"family":"Wozny","given":"Thomas A."},{"family":"Fissell","given":"Catherine"},{"family":"Chen","given":"Chi-Ming A."},{"family":"Lewis","given":"David A."}],"issued":{"date-parts":[["2015",6,1]]}}},{"id":724,"uris":["http://zotero.org/users/11882939/items/3NVVRAAL"],"itemData":{"id":724,"type":"article-journal","abstract":"Neuronal oscillations refer to rhythmic and periodic fluctuations of electrical activity in the central nervous system that arise from the cellular properties of diverse neuronal populations and their interactions. Specifically, gamma oscillations play a crucial role in governing the connectivity between distinct brain regions, which are essential in perception, motor control, memory, and emotions. In this context, we recapitulate various current stimulation methods to induce gamma entrainment. These methods include sensory stimulation, optogenetic modulation, photobiomodulation, and transcranial electrical or magnetic stimulation. Simultaneously, we explore the association between abnormal gamma oscillations and central nervous system disorders such as Alzheimer’s disease, Parkinson’s disease, stroke, schizophrenia, and autism spectrum disorders. Evidence suggests that gamma entrainment-inducing stimulation methods offer notable neuroprotection, although somewhat controversial. This review comprehensively discusses the functional role of gamma oscillations in higher-order brain activities from both physiological and pathological perspectives, emphasizing gamma entrainment as a potential therapeutic approach for neuropsychiatric disorders. Additionally, we discuss future opportunities and challenges in implementing such strategies.","container-title":"Molecular Neurodegeneration","DOI":"10.1186/s13024-024-00785-x","ISSN":"1750-1326","issue":"1","journalAbbreviation":"Molecular Neurodegeneration","page":"96","title":"Mystery of gamma wave stimulation in brain disorders","volume":"19","author":[{"family":"Deng","given":"Qianting"},{"family":"Wu","given":"Chongyun"},{"family":"Parker","given":"Emily"},{"family":"Zhu","given":"Jing"},{"family":"Liu","given":"Timon Cheng-Yi"},{"family":"Duan","given":"Rui"},{"family":"Yang","given":"Luodan"}],"issued":{"date-parts":[["2024",12,18]]}}},{"id":723,"uris":["http://zotero.org/users/11882939/items/9CSB6JXS"],"itemData":{"id":723,"type":"article-journal","abstract":"Abstract Recent developments in EEG hardware and analyses approaches allow for recordings in both stationary and mobile settings. Irrespective of the experimental setting, EEG recordings are contaminated with noise that has to be removed before the data can be functionally interpreted. Independent component analysis (ICA) is a commonly used tool to remove artifacts such as eye movement, muscle activity, and external noise from the data and to analyze activity on the level of EEG effective brain sources. The effectiveness of filtering the data is one key preprocessing step to improve the decomposition that has been investigated previously. However, no study thus far compared the different requirements of mobile and stationary experiments regarding the preprocessing for ICA decomposition. We thus evaluated how movement in EEG experiments, the number of channels, and the high-pass filter cutoff during preprocessing influence the ICA decomposition. We found that for commonly used settings (stationary experiment, 64 channels, 0.5 Hz filter), the ICA results are acceptable. However, high-pass filters of up to 2 Hz cut-off frequency should be used in mobile experiments, and more channels require a higher filter to reach an optimal decomposition. Fewer brain ICs were found in mobile experiments, but cleaning the data with ICA has been proved to be important and functional even with low-density channel setups. Based on the results, we provide guidelines for different experimental settings that improve the ICA decomposition.","container-title":"European Journal of Neuroscience","DOI":"10.1111/ejn.14992","ISSN":"0953-816X","issue":"12","journalAbbreviation":"European Journal of Neuroscience","note":"publisher: John Wiley &amp; Sons, Ltd","page":"8406-8420","title":"Identifying key factors for improving ICA-based decomposition of EEG data in mobile and stationary experiments","volume":"54","author":[{"family":"Klug","given":"Marius"},{"family":"Gramann","given":"Klaus"}],"issued":{"date-parts":[["2021",12,1]]}}},{"id":718,"uris":["http://zotero.org/users/11882939/items/TUD3WZNG"],"itemData":{"id":718,"type":"article-journal","abstract":"Microstate analysis is a multivariate method that enables investigations of the temporal dynamics of large-scale neural networks in EEG recordings of human brain activity. To meet the enormously increasing interest in this approach, we provide a thoroughly updated version of the first open source EEGLAB toolbox for the standardized identification, visualization, and quantification of microstates in resting-state EEG data. The toolbox allows scientists to (i) identify individual, mean, and grand mean microstate maps using topographical clustering approaches, (ii) check data quality and detect outlier maps, (iii) visualize, sort, and label individual, mean, and grand mean microstate maps according to published maps, (iv) compare topographical similarities of group and grand mean microstate maps and quantify shared variances, (v) obtain the temporal dynamics of the microstate classes in individual EEGs, (vi) export quantifications of these temporal dynamics of the microstates for statistical tests, and finally, (vii) test for topographical differences between groups and conditions using topographic analysis of variance (TANOVA). Here, we introduce the toolbox in a step-by-step tutorial, using a sample dataset of 34 resting-state EEG recordings that are publicly available to follow along with this tutorial. The goals of this manuscript are (a) to provide a standardized, freely available toolbox for resting-state microstate analysis to the scientific community, (b) to allow researchers to use best practices for microstate analysis by following a step-by-step tutorial, and (c) to improve the methodological standards of microstate research by providing previously unavailable functions and recommendations on critical decisions required in microstate analyses.","container-title":"Brain Topography","DOI":"10.1007/s10548-023-01003-5","ISSN":"1573-6792","issue":"4","journalAbbreviation":"Brain Topography","page":"621-645","title":"MICROSTATELAB: The EEGLAB Toolbox for Resting-State Microstate Analysis","volume":"37","author":[{"family":"Nagabhushan Kalburgi","given":"Sahana"},{"family":"Kleinert","given":"Tobias"},{"family":"Aryan","given":"Delara"},{"family":"Nash","given":"Kyle"},{"family":"Schiller","given":"Bastian"},{"family":"Koenig","given":"Thomas"}],"issued":{"date-parts":[["2024",7,1]]}}},{"id":722,"uris":["http://zotero.org/users/11882939/items/7GID9ARM"],"itemData":{"id":722,"type":"article-journal","abstract":"Electroencephalography (EEG) is used to monitor brain activity. The brain signals consist of different frequency band signals delta, theta, alpha, beta, and gamma waves. The signals are affected by external noise which reduces the quality of the EEG signal due to which it becomes difficult to do further processing of EEG signals like feature extraction or extraction of meaningful features from EEG signal. Therefore, it becomes important to filter the noise from the EEG signal before feature extraction or classification of the EEG signal. The research article presents an overview of different types of windowing filter techniques like Rectangular, Bartlett, Hamming, Hanning, and Kaiser windows applied for finite impulse response (FIR) behavior which is used for EEG signal processing for different brain waves processed in different frequency bands. The comparative analysis is carried out in terms of the response time of brain frequency bands for different windowing filter techniques using the MATLAB 2023 signal processing simulation tool. The novelty of the work lies in estimating minimum latency and appropriate filter selection for various typical EEG waves, since the EEG signals are pre-supposed in the hardware chip design, noise elimination is the first step in high-performance computing applications. The Bartlett window band stop has an optimal response time of 12.666 s for delta waves, a highpass filter with a response time of 16.187 s for theta waves, a bandpass with a response time of 13.122 s for alpha waves, a highpass filter with a response time of 17.866 s for beta waves, and a highpass filter with a response time of 13.797 s for gamma waves. The Barlett window FIR filter is well-suited for EEG applications.","container-title":"Results in Control and Optimization","DOI":"10.1016/j.rico.2024.100485","ISSN":"2666-7207","journalAbbreviation":"Results in Control and Optimization","page":"100485","title":"Comparative exploration on EEG signal filtering using window control methods","volume":"17","author":[{"family":"Pant","given":"Aruna"},{"family":"Kumar","given":"Adesh"},{"family":"Verma","given":"Chaman"},{"family":"Illés","given":"Zoltán"}],"issued":{"date-parts":[["2024",12,1]]}}}],"schema":"https://github.com/citation-style-language/schema/raw/master/csl-citation.json"} </w:instrText>
      </w:r>
      <w:r w:rsidRPr="00E66A11">
        <w:rPr>
          <w:b/>
          <w:bCs/>
        </w:rPr>
        <w:fldChar w:fldCharType="separate"/>
      </w:r>
      <w:r w:rsidRPr="00E66A11">
        <w:rPr>
          <w:rFonts w:cs="Times New Roman"/>
          <w:szCs w:val="18"/>
        </w:rPr>
        <w:t>(Cho et al., 2015; Deng et al., 2024; Klug &amp; Gramann, 2021; Nagabhushan Kalburgi et al., 2024; Pant et al., 2024)</w:t>
      </w:r>
      <w:r w:rsidRPr="00E66A11">
        <w:rPr>
          <w:b/>
          <w:bCs/>
        </w:rPr>
        <w:fldChar w:fldCharType="end"/>
      </w:r>
    </w:p>
    <w:p w14:paraId="4AF664A9" w14:textId="698073AB" w:rsidR="000F78E5" w:rsidRDefault="000F78E5">
      <w:pPr>
        <w:spacing w:line="259" w:lineRule="auto"/>
        <w:ind w:firstLine="0"/>
      </w:pPr>
      <w:r>
        <w:br w:type="page"/>
      </w:r>
    </w:p>
    <w:p w14:paraId="7FE263E0" w14:textId="4AB65B7C" w:rsidR="000F78E5" w:rsidRDefault="000F78E5" w:rsidP="00810112">
      <w:pPr>
        <w:ind w:firstLine="0"/>
        <w:rPr>
          <w:b/>
          <w:bCs/>
          <w:sz w:val="32"/>
          <w:szCs w:val="28"/>
        </w:rPr>
      </w:pPr>
      <w:r w:rsidRPr="000F78E5">
        <w:rPr>
          <w:b/>
          <w:bCs/>
          <w:sz w:val="32"/>
          <w:szCs w:val="28"/>
        </w:rPr>
        <w:lastRenderedPageBreak/>
        <w:t>Ref:</w:t>
      </w:r>
    </w:p>
    <w:p w14:paraId="669D16C5" w14:textId="77777777" w:rsidR="00E66A11" w:rsidRPr="00E66A11" w:rsidRDefault="00E66A11" w:rsidP="00E66A11">
      <w:pPr>
        <w:pStyle w:val="Bibliography"/>
        <w:rPr>
          <w:rFonts w:cs="Times New Roman"/>
          <w:szCs w:val="18"/>
        </w:rPr>
      </w:pPr>
      <w:r w:rsidRPr="00E66A11">
        <w:rPr>
          <w:b/>
          <w:bCs/>
        </w:rPr>
        <w:fldChar w:fldCharType="begin"/>
      </w:r>
      <w:r w:rsidRPr="00E66A11">
        <w:rPr>
          <w:b/>
          <w:bCs/>
        </w:rPr>
        <w:instrText xml:space="preserve"> ADDIN ZOTERO_BIBL {"uncited":[],"omitted":[],"custom":[]} CSL_BIBLIOGRAPHY </w:instrText>
      </w:r>
      <w:r w:rsidRPr="00E66A11">
        <w:rPr>
          <w:b/>
          <w:bCs/>
        </w:rPr>
        <w:fldChar w:fldCharType="separate"/>
      </w:r>
      <w:r w:rsidRPr="00E66A11">
        <w:rPr>
          <w:rFonts w:cs="Times New Roman"/>
          <w:szCs w:val="18"/>
        </w:rPr>
        <w:t xml:space="preserve">Cho, R. Y., Walker, C. P., Polizzotto, N. R., Wozny, T. A., Fissell, C., Chen, C.-M. A., &amp; Lewis, D. A. (2015). Development of Sensory Gamma Oscillations and Cross-Frequency Coupling from Childhood to Early Adulthood. </w:t>
      </w:r>
      <w:r w:rsidRPr="00E66A11">
        <w:rPr>
          <w:rFonts w:cs="Times New Roman"/>
          <w:i/>
          <w:iCs/>
          <w:szCs w:val="18"/>
        </w:rPr>
        <w:t>Cerebral Cortex</w:t>
      </w:r>
      <w:r w:rsidRPr="00E66A11">
        <w:rPr>
          <w:rFonts w:cs="Times New Roman"/>
          <w:szCs w:val="18"/>
        </w:rPr>
        <w:t xml:space="preserve">, </w:t>
      </w:r>
      <w:r w:rsidRPr="00E66A11">
        <w:rPr>
          <w:rFonts w:cs="Times New Roman"/>
          <w:i/>
          <w:iCs/>
          <w:szCs w:val="18"/>
        </w:rPr>
        <w:t>25</w:t>
      </w:r>
      <w:r w:rsidRPr="00E66A11">
        <w:rPr>
          <w:rFonts w:cs="Times New Roman"/>
          <w:szCs w:val="18"/>
        </w:rPr>
        <w:t>(6), 1509–1518. https://doi.org/10.1093/cercor/bht341</w:t>
      </w:r>
    </w:p>
    <w:p w14:paraId="337F7E9A" w14:textId="77777777" w:rsidR="00E66A11" w:rsidRPr="00E66A11" w:rsidRDefault="00E66A11" w:rsidP="00E66A11">
      <w:pPr>
        <w:pStyle w:val="Bibliography"/>
        <w:rPr>
          <w:rFonts w:cs="Times New Roman"/>
          <w:szCs w:val="18"/>
        </w:rPr>
      </w:pPr>
      <w:r w:rsidRPr="00E66A11">
        <w:rPr>
          <w:rFonts w:cs="Times New Roman"/>
          <w:szCs w:val="18"/>
        </w:rPr>
        <w:t xml:space="preserve">Deng, Q., Wu, C., Parker, E., Zhu, J., Liu, T. C.-Y., Duan, R., &amp; Yang, L. (2024). Mystery of gamma wave stimulation in brain disorders. </w:t>
      </w:r>
      <w:r w:rsidRPr="00E66A11">
        <w:rPr>
          <w:rFonts w:cs="Times New Roman"/>
          <w:i/>
          <w:iCs/>
          <w:szCs w:val="18"/>
        </w:rPr>
        <w:t>Molecular Neurodegeneration</w:t>
      </w:r>
      <w:r w:rsidRPr="00E66A11">
        <w:rPr>
          <w:rFonts w:cs="Times New Roman"/>
          <w:szCs w:val="18"/>
        </w:rPr>
        <w:t xml:space="preserve">, </w:t>
      </w:r>
      <w:r w:rsidRPr="00E66A11">
        <w:rPr>
          <w:rFonts w:cs="Times New Roman"/>
          <w:i/>
          <w:iCs/>
          <w:szCs w:val="18"/>
        </w:rPr>
        <w:t>19</w:t>
      </w:r>
      <w:r w:rsidRPr="00E66A11">
        <w:rPr>
          <w:rFonts w:cs="Times New Roman"/>
          <w:szCs w:val="18"/>
        </w:rPr>
        <w:t>(1), 96. https://doi.org/10.1186/s13024-024-00785-x</w:t>
      </w:r>
    </w:p>
    <w:p w14:paraId="3D28972A" w14:textId="77777777" w:rsidR="00E66A11" w:rsidRPr="00E66A11" w:rsidRDefault="00E66A11" w:rsidP="00E66A11">
      <w:pPr>
        <w:pStyle w:val="Bibliography"/>
        <w:rPr>
          <w:rFonts w:cs="Times New Roman"/>
          <w:szCs w:val="18"/>
        </w:rPr>
      </w:pPr>
      <w:r w:rsidRPr="00E66A11">
        <w:rPr>
          <w:rFonts w:cs="Times New Roman"/>
          <w:szCs w:val="18"/>
        </w:rPr>
        <w:t xml:space="preserve">Klug, M., &amp; Gramann, K. (2021). Identifying key factors for improving ICA-based decomposition of EEG data in mobile and stationary experiments. </w:t>
      </w:r>
      <w:r w:rsidRPr="00E66A11">
        <w:rPr>
          <w:rFonts w:cs="Times New Roman"/>
          <w:i/>
          <w:iCs/>
          <w:szCs w:val="18"/>
        </w:rPr>
        <w:t>European Journal of Neuroscience</w:t>
      </w:r>
      <w:r w:rsidRPr="00E66A11">
        <w:rPr>
          <w:rFonts w:cs="Times New Roman"/>
          <w:szCs w:val="18"/>
        </w:rPr>
        <w:t xml:space="preserve">, </w:t>
      </w:r>
      <w:r w:rsidRPr="00E66A11">
        <w:rPr>
          <w:rFonts w:cs="Times New Roman"/>
          <w:i/>
          <w:iCs/>
          <w:szCs w:val="18"/>
        </w:rPr>
        <w:t>54</w:t>
      </w:r>
      <w:r w:rsidRPr="00E66A11">
        <w:rPr>
          <w:rFonts w:cs="Times New Roman"/>
          <w:szCs w:val="18"/>
        </w:rPr>
        <w:t>(12), 8406–8420. https://doi.org/10.1111/ejn.14992</w:t>
      </w:r>
    </w:p>
    <w:p w14:paraId="593BE918" w14:textId="77777777" w:rsidR="00E66A11" w:rsidRPr="00E66A11" w:rsidRDefault="00E66A11" w:rsidP="00E66A11">
      <w:pPr>
        <w:pStyle w:val="Bibliography"/>
        <w:rPr>
          <w:rFonts w:cs="Times New Roman"/>
          <w:szCs w:val="18"/>
        </w:rPr>
      </w:pPr>
      <w:r w:rsidRPr="00E66A11">
        <w:rPr>
          <w:rFonts w:cs="Times New Roman"/>
          <w:szCs w:val="18"/>
        </w:rPr>
        <w:t xml:space="preserve">Nagabhushan Kalburgi, S., Kleinert, T., Aryan, D., Nash, K., Schiller, B., &amp; Koenig, T. (2024). MICROSTATELAB: The EEGLAB Toolbox for Resting-State Microstate Analysis. </w:t>
      </w:r>
      <w:r w:rsidRPr="00E66A11">
        <w:rPr>
          <w:rFonts w:cs="Times New Roman"/>
          <w:i/>
          <w:iCs/>
          <w:szCs w:val="18"/>
        </w:rPr>
        <w:t xml:space="preserve">Brain </w:t>
      </w:r>
      <w:r w:rsidRPr="00E66A11">
        <w:rPr>
          <w:rFonts w:cs="Times New Roman"/>
          <w:i/>
          <w:iCs/>
          <w:szCs w:val="18"/>
        </w:rPr>
        <w:lastRenderedPageBreak/>
        <w:t>Topography</w:t>
      </w:r>
      <w:r w:rsidRPr="00E66A11">
        <w:rPr>
          <w:rFonts w:cs="Times New Roman"/>
          <w:szCs w:val="18"/>
        </w:rPr>
        <w:t xml:space="preserve">, </w:t>
      </w:r>
      <w:r w:rsidRPr="00E66A11">
        <w:rPr>
          <w:rFonts w:cs="Times New Roman"/>
          <w:i/>
          <w:iCs/>
          <w:szCs w:val="18"/>
        </w:rPr>
        <w:t>37</w:t>
      </w:r>
      <w:r w:rsidRPr="00E66A11">
        <w:rPr>
          <w:rFonts w:cs="Times New Roman"/>
          <w:szCs w:val="18"/>
        </w:rPr>
        <w:t>(4), 621–645. https://doi.org/10.1007/s10548-023-01003-5</w:t>
      </w:r>
    </w:p>
    <w:p w14:paraId="6A6A1874" w14:textId="77777777" w:rsidR="00E66A11" w:rsidRPr="00E66A11" w:rsidRDefault="00E66A11" w:rsidP="00E66A11">
      <w:pPr>
        <w:pStyle w:val="Bibliography"/>
        <w:rPr>
          <w:rFonts w:cs="Times New Roman"/>
          <w:szCs w:val="18"/>
        </w:rPr>
      </w:pPr>
      <w:r w:rsidRPr="00E66A11">
        <w:rPr>
          <w:rFonts w:cs="Times New Roman"/>
          <w:szCs w:val="18"/>
        </w:rPr>
        <w:t xml:space="preserve">Pant, A., Kumar, A., Verma, C., &amp; Illés, Z. (2024). Comparative exploration on EEG signal filtering using window control methods. </w:t>
      </w:r>
      <w:r w:rsidRPr="00E66A11">
        <w:rPr>
          <w:rFonts w:cs="Times New Roman"/>
          <w:i/>
          <w:iCs/>
          <w:szCs w:val="18"/>
        </w:rPr>
        <w:t>Results in Control and Optimization</w:t>
      </w:r>
      <w:r w:rsidRPr="00E66A11">
        <w:rPr>
          <w:rFonts w:cs="Times New Roman"/>
          <w:szCs w:val="18"/>
        </w:rPr>
        <w:t xml:space="preserve">, </w:t>
      </w:r>
      <w:r w:rsidRPr="00E66A11">
        <w:rPr>
          <w:rFonts w:cs="Times New Roman"/>
          <w:i/>
          <w:iCs/>
          <w:szCs w:val="18"/>
        </w:rPr>
        <w:t>17</w:t>
      </w:r>
      <w:r w:rsidRPr="00E66A11">
        <w:rPr>
          <w:rFonts w:cs="Times New Roman"/>
          <w:szCs w:val="18"/>
        </w:rPr>
        <w:t>, 100485. https://doi.org/10.1016/j.rico.2024.100485</w:t>
      </w:r>
    </w:p>
    <w:p w14:paraId="15CBB34D" w14:textId="13182BD5" w:rsidR="00E66A11" w:rsidRPr="000F78E5" w:rsidRDefault="00E66A11" w:rsidP="00810112">
      <w:pPr>
        <w:ind w:firstLine="0"/>
        <w:rPr>
          <w:b/>
          <w:bCs/>
          <w:sz w:val="32"/>
          <w:szCs w:val="28"/>
        </w:rPr>
      </w:pPr>
      <w:r w:rsidRPr="00E66A11">
        <w:rPr>
          <w:b/>
          <w:bCs/>
        </w:rPr>
        <w:fldChar w:fldCharType="end"/>
      </w:r>
    </w:p>
    <w:sectPr w:rsidR="00E66A11" w:rsidRPr="000F78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ker" w:date="2025-03-20T18:41:00Z" w:initials="M">
    <w:p w14:paraId="1F6FC859" w14:textId="77777777" w:rsidR="00CF1432" w:rsidRDefault="00CF1432" w:rsidP="00CF1432">
      <w:pPr>
        <w:pStyle w:val="CommentText"/>
        <w:ind w:firstLine="0"/>
      </w:pPr>
      <w:r>
        <w:rPr>
          <w:rStyle w:val="CommentReference"/>
        </w:rPr>
        <w:annotationRef/>
      </w:r>
      <w:r>
        <w:t>Review</w:t>
      </w:r>
    </w:p>
  </w:comment>
  <w:comment w:id="1" w:author="Marker" w:date="2025-03-20T18:30:00Z" w:initials="M">
    <w:p w14:paraId="39BB4B6D" w14:textId="6A9599E5" w:rsidR="00730EC4" w:rsidRDefault="00730EC4" w:rsidP="00730EC4">
      <w:pPr>
        <w:pStyle w:val="CommentText"/>
        <w:ind w:firstLine="0"/>
      </w:pPr>
      <w:r>
        <w:rPr>
          <w:rStyle w:val="CommentReference"/>
        </w:rPr>
        <w:annotationRef/>
      </w:r>
      <w:r>
        <w:t>Review</w:t>
      </w:r>
    </w:p>
  </w:comment>
  <w:comment w:id="2" w:author="Marker" w:date="2025-03-20T18:38:00Z" w:initials="M">
    <w:p w14:paraId="34CD7F58" w14:textId="77777777" w:rsidR="00CF1432" w:rsidRDefault="00CF1432" w:rsidP="00CF1432">
      <w:pPr>
        <w:pStyle w:val="CommentText"/>
        <w:ind w:firstLine="0"/>
      </w:pPr>
      <w:r>
        <w:rPr>
          <w:rStyle w:val="CommentReference"/>
        </w:rPr>
        <w:annotationRef/>
      </w:r>
      <w:r>
        <w:t>Review</w:t>
      </w:r>
    </w:p>
  </w:comment>
  <w:comment w:id="3" w:author="Marker" w:date="2025-03-20T18:44:00Z" w:initials="M">
    <w:p w14:paraId="46EA78F2" w14:textId="77777777" w:rsidR="00810112" w:rsidRDefault="00810112" w:rsidP="00810112">
      <w:pPr>
        <w:pStyle w:val="CommentText"/>
        <w:ind w:firstLine="0"/>
      </w:pPr>
      <w:r>
        <w:rPr>
          <w:rStyle w:val="CommentReference"/>
        </w:rPr>
        <w:annotationRef/>
      </w:r>
      <w:r>
        <w:t>Review</w:t>
      </w:r>
    </w:p>
  </w:comment>
  <w:comment w:id="4" w:author="Marker" w:date="2025-03-20T18:49:00Z" w:initials="M">
    <w:p w14:paraId="612EC8FB" w14:textId="77777777" w:rsidR="00810112" w:rsidRDefault="00810112" w:rsidP="00810112">
      <w:pPr>
        <w:pStyle w:val="CommentText"/>
        <w:ind w:firstLine="0"/>
      </w:pPr>
      <w:r>
        <w:rPr>
          <w:rStyle w:val="CommentReference"/>
        </w:rPr>
        <w:annotationRef/>
      </w:r>
      <w:r>
        <w:t>Review</w:t>
      </w:r>
    </w:p>
  </w:comment>
  <w:comment w:id="5" w:author="Marker" w:date="2025-03-20T18:50:00Z" w:initials="M">
    <w:p w14:paraId="2BB3E6E7" w14:textId="77777777" w:rsidR="00810112" w:rsidRDefault="00810112" w:rsidP="00810112">
      <w:pPr>
        <w:pStyle w:val="CommentText"/>
        <w:ind w:firstLine="0"/>
      </w:pPr>
      <w:r>
        <w:rPr>
          <w:rStyle w:val="CommentReference"/>
        </w:rPr>
        <w:annotationRef/>
      </w:r>
      <w:r>
        <w:t>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6FC859" w15:done="0"/>
  <w15:commentEx w15:paraId="39BB4B6D" w15:done="0"/>
  <w15:commentEx w15:paraId="34CD7F58" w15:done="0"/>
  <w15:commentEx w15:paraId="46EA78F2" w15:done="0"/>
  <w15:commentEx w15:paraId="612EC8FB" w15:done="0"/>
  <w15:commentEx w15:paraId="2BB3E6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6E0E65" w16cex:dateUtc="2025-03-20T05:41:00Z"/>
  <w16cex:commentExtensible w16cex:durableId="7A216135" w16cex:dateUtc="2025-03-20T05:30:00Z"/>
  <w16cex:commentExtensible w16cex:durableId="5A2B4ED3" w16cex:dateUtc="2025-03-20T05:38:00Z"/>
  <w16cex:commentExtensible w16cex:durableId="5491202D" w16cex:dateUtc="2025-03-20T05:44:00Z"/>
  <w16cex:commentExtensible w16cex:durableId="4B6EA7BA" w16cex:dateUtc="2025-03-20T05:49:00Z"/>
  <w16cex:commentExtensible w16cex:durableId="32334905" w16cex:dateUtc="2025-03-20T0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6FC859" w16cid:durableId="4F6E0E65"/>
  <w16cid:commentId w16cid:paraId="39BB4B6D" w16cid:durableId="7A216135"/>
  <w16cid:commentId w16cid:paraId="34CD7F58" w16cid:durableId="5A2B4ED3"/>
  <w16cid:commentId w16cid:paraId="46EA78F2" w16cid:durableId="5491202D"/>
  <w16cid:commentId w16cid:paraId="612EC8FB" w16cid:durableId="4B6EA7BA"/>
  <w16cid:commentId w16cid:paraId="2BB3E6E7" w16cid:durableId="323349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658B1"/>
    <w:multiLevelType w:val="hybridMultilevel"/>
    <w:tmpl w:val="68DA1318"/>
    <w:lvl w:ilvl="0" w:tplc="C33673A2">
      <w:numFmt w:val="bullet"/>
      <w:lvlText w:val="-"/>
      <w:lvlJc w:val="left"/>
      <w:pPr>
        <w:ind w:left="1140" w:hanging="360"/>
      </w:pPr>
      <w:rPr>
        <w:rFonts w:ascii="Times New Roman" w:eastAsiaTheme="minorHAnsi" w:hAnsi="Times New Roman" w:cs="Times New Roman" w:hint="default"/>
      </w:rPr>
    </w:lvl>
    <w:lvl w:ilvl="1" w:tplc="14090003">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num w:numId="1" w16cid:durableId="14236443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ker">
    <w15:presenceInfo w15:providerId="None" w15:userId="Mar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5B"/>
    <w:rsid w:val="000F78E5"/>
    <w:rsid w:val="001A6919"/>
    <w:rsid w:val="004265C3"/>
    <w:rsid w:val="00427FC7"/>
    <w:rsid w:val="00730EC4"/>
    <w:rsid w:val="007F10B9"/>
    <w:rsid w:val="00810112"/>
    <w:rsid w:val="00B779A0"/>
    <w:rsid w:val="00CC55B8"/>
    <w:rsid w:val="00CF1432"/>
    <w:rsid w:val="00DD625B"/>
    <w:rsid w:val="00E35544"/>
    <w:rsid w:val="00E66A11"/>
    <w:rsid w:val="00F847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4041"/>
  <w15:chartTrackingRefBased/>
  <w15:docId w15:val="{5972C8C4-FD4A-4DD3-8A8C-340335D6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EC4"/>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CC55B8"/>
    <w:pPr>
      <w:keepNext/>
      <w:keepLines/>
      <w:spacing w:before="360" w:after="80"/>
      <w:ind w:firstLine="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CC55B8"/>
    <w:pPr>
      <w:keepNext/>
      <w:keepLines/>
      <w:spacing w:before="160" w:after="80"/>
      <w:ind w:firstLine="0"/>
      <w:outlineLvl w:val="1"/>
    </w:pPr>
    <w:rPr>
      <w:rFonts w:eastAsiaTheme="majorEastAsia" w:cstheme="majorBidi"/>
      <w:b/>
      <w:i/>
      <w:sz w:val="28"/>
      <w:szCs w:val="32"/>
    </w:rPr>
  </w:style>
  <w:style w:type="paragraph" w:styleId="Heading3">
    <w:name w:val="heading 3"/>
    <w:basedOn w:val="Normal"/>
    <w:next w:val="Normal"/>
    <w:link w:val="Heading3Char"/>
    <w:uiPriority w:val="9"/>
    <w:semiHidden/>
    <w:unhideWhenUsed/>
    <w:qFormat/>
    <w:rsid w:val="00F847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7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47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47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47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47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47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5B8"/>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CC55B8"/>
    <w:rPr>
      <w:rFonts w:ascii="Times New Roman" w:eastAsiaTheme="majorEastAsia" w:hAnsi="Times New Roman" w:cstheme="majorBidi"/>
      <w:b/>
      <w:i/>
      <w:sz w:val="28"/>
      <w:szCs w:val="32"/>
    </w:rPr>
  </w:style>
  <w:style w:type="paragraph" w:styleId="Title">
    <w:name w:val="Title"/>
    <w:basedOn w:val="Normal"/>
    <w:next w:val="Normal"/>
    <w:link w:val="TitleChar"/>
    <w:uiPriority w:val="10"/>
    <w:qFormat/>
    <w:rsid w:val="00CC55B8"/>
    <w:pPr>
      <w:spacing w:after="8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CC55B8"/>
    <w:rPr>
      <w:rFonts w:ascii="Times New Roman" w:eastAsiaTheme="majorEastAsia" w:hAnsi="Times New Roman" w:cstheme="majorBidi"/>
      <w:b/>
      <w:spacing w:val="-10"/>
      <w:kern w:val="28"/>
      <w:sz w:val="28"/>
      <w:szCs w:val="56"/>
    </w:rPr>
  </w:style>
  <w:style w:type="character" w:customStyle="1" w:styleId="Heading3Char">
    <w:name w:val="Heading 3 Char"/>
    <w:basedOn w:val="DefaultParagraphFont"/>
    <w:link w:val="Heading3"/>
    <w:uiPriority w:val="9"/>
    <w:semiHidden/>
    <w:rsid w:val="00F84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75B"/>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8475B"/>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8475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8475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8475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8475B"/>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F8475B"/>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75B"/>
    <w:pPr>
      <w:spacing w:before="160"/>
      <w:jc w:val="center"/>
    </w:pPr>
    <w:rPr>
      <w:i/>
      <w:iCs/>
      <w:color w:val="404040" w:themeColor="text1" w:themeTint="BF"/>
    </w:rPr>
  </w:style>
  <w:style w:type="character" w:customStyle="1" w:styleId="QuoteChar">
    <w:name w:val="Quote Char"/>
    <w:basedOn w:val="DefaultParagraphFont"/>
    <w:link w:val="Quote"/>
    <w:uiPriority w:val="29"/>
    <w:rsid w:val="00F8475B"/>
    <w:rPr>
      <w:rFonts w:ascii="Times New Roman" w:hAnsi="Times New Roman"/>
      <w:i/>
      <w:iCs/>
      <w:color w:val="404040" w:themeColor="text1" w:themeTint="BF"/>
      <w:sz w:val="24"/>
    </w:rPr>
  </w:style>
  <w:style w:type="paragraph" w:styleId="ListParagraph">
    <w:name w:val="List Paragraph"/>
    <w:basedOn w:val="Normal"/>
    <w:uiPriority w:val="34"/>
    <w:qFormat/>
    <w:rsid w:val="00F8475B"/>
    <w:pPr>
      <w:ind w:left="720"/>
      <w:contextualSpacing/>
    </w:pPr>
  </w:style>
  <w:style w:type="character" w:styleId="IntenseEmphasis">
    <w:name w:val="Intense Emphasis"/>
    <w:basedOn w:val="DefaultParagraphFont"/>
    <w:uiPriority w:val="21"/>
    <w:qFormat/>
    <w:rsid w:val="00F8475B"/>
    <w:rPr>
      <w:i/>
      <w:iCs/>
      <w:color w:val="0F4761" w:themeColor="accent1" w:themeShade="BF"/>
    </w:rPr>
  </w:style>
  <w:style w:type="paragraph" w:styleId="IntenseQuote">
    <w:name w:val="Intense Quote"/>
    <w:basedOn w:val="Normal"/>
    <w:next w:val="Normal"/>
    <w:link w:val="IntenseQuoteChar"/>
    <w:uiPriority w:val="30"/>
    <w:qFormat/>
    <w:rsid w:val="00F84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75B"/>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8475B"/>
    <w:rPr>
      <w:b/>
      <w:bCs/>
      <w:smallCaps/>
      <w:color w:val="0F4761" w:themeColor="accent1" w:themeShade="BF"/>
      <w:spacing w:val="5"/>
    </w:rPr>
  </w:style>
  <w:style w:type="character" w:styleId="CommentReference">
    <w:name w:val="annotation reference"/>
    <w:basedOn w:val="DefaultParagraphFont"/>
    <w:uiPriority w:val="99"/>
    <w:semiHidden/>
    <w:unhideWhenUsed/>
    <w:rsid w:val="00730EC4"/>
    <w:rPr>
      <w:sz w:val="16"/>
      <w:szCs w:val="16"/>
    </w:rPr>
  </w:style>
  <w:style w:type="paragraph" w:styleId="CommentText">
    <w:name w:val="annotation text"/>
    <w:basedOn w:val="Normal"/>
    <w:link w:val="CommentTextChar"/>
    <w:uiPriority w:val="99"/>
    <w:unhideWhenUsed/>
    <w:rsid w:val="00730EC4"/>
    <w:pPr>
      <w:spacing w:line="240" w:lineRule="auto"/>
    </w:pPr>
    <w:rPr>
      <w:sz w:val="20"/>
      <w:szCs w:val="20"/>
    </w:rPr>
  </w:style>
  <w:style w:type="character" w:customStyle="1" w:styleId="CommentTextChar">
    <w:name w:val="Comment Text Char"/>
    <w:basedOn w:val="DefaultParagraphFont"/>
    <w:link w:val="CommentText"/>
    <w:uiPriority w:val="99"/>
    <w:rsid w:val="00730EC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EC4"/>
    <w:rPr>
      <w:b/>
      <w:bCs/>
    </w:rPr>
  </w:style>
  <w:style w:type="character" w:customStyle="1" w:styleId="CommentSubjectChar">
    <w:name w:val="Comment Subject Char"/>
    <w:basedOn w:val="CommentTextChar"/>
    <w:link w:val="CommentSubject"/>
    <w:uiPriority w:val="99"/>
    <w:semiHidden/>
    <w:rsid w:val="00730EC4"/>
    <w:rPr>
      <w:rFonts w:ascii="Times New Roman" w:hAnsi="Times New Roman"/>
      <w:b/>
      <w:bCs/>
      <w:sz w:val="20"/>
      <w:szCs w:val="20"/>
    </w:rPr>
  </w:style>
  <w:style w:type="paragraph" w:styleId="Bibliography">
    <w:name w:val="Bibliography"/>
    <w:basedOn w:val="Normal"/>
    <w:next w:val="Normal"/>
    <w:uiPriority w:val="37"/>
    <w:unhideWhenUsed/>
    <w:rsid w:val="00E66A11"/>
    <w:pPr>
      <w:spacing w:after="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60094">
      <w:bodyDiv w:val="1"/>
      <w:marLeft w:val="0"/>
      <w:marRight w:val="0"/>
      <w:marTop w:val="0"/>
      <w:marBottom w:val="0"/>
      <w:divBdr>
        <w:top w:val="none" w:sz="0" w:space="0" w:color="auto"/>
        <w:left w:val="none" w:sz="0" w:space="0" w:color="auto"/>
        <w:bottom w:val="none" w:sz="0" w:space="0" w:color="auto"/>
        <w:right w:val="none" w:sz="0" w:space="0" w:color="auto"/>
      </w:divBdr>
      <w:divsChild>
        <w:div w:id="1773892333">
          <w:marLeft w:val="0"/>
          <w:marRight w:val="0"/>
          <w:marTop w:val="0"/>
          <w:marBottom w:val="0"/>
          <w:divBdr>
            <w:top w:val="none" w:sz="0" w:space="0" w:color="auto"/>
            <w:left w:val="none" w:sz="0" w:space="0" w:color="auto"/>
            <w:bottom w:val="none" w:sz="0" w:space="0" w:color="auto"/>
            <w:right w:val="none" w:sz="0" w:space="0" w:color="auto"/>
          </w:divBdr>
          <w:divsChild>
            <w:div w:id="19733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080">
      <w:bodyDiv w:val="1"/>
      <w:marLeft w:val="0"/>
      <w:marRight w:val="0"/>
      <w:marTop w:val="0"/>
      <w:marBottom w:val="0"/>
      <w:divBdr>
        <w:top w:val="none" w:sz="0" w:space="0" w:color="auto"/>
        <w:left w:val="none" w:sz="0" w:space="0" w:color="auto"/>
        <w:bottom w:val="none" w:sz="0" w:space="0" w:color="auto"/>
        <w:right w:val="none" w:sz="0" w:space="0" w:color="auto"/>
      </w:divBdr>
      <w:divsChild>
        <w:div w:id="1365135859">
          <w:marLeft w:val="0"/>
          <w:marRight w:val="0"/>
          <w:marTop w:val="0"/>
          <w:marBottom w:val="0"/>
          <w:divBdr>
            <w:top w:val="none" w:sz="0" w:space="0" w:color="auto"/>
            <w:left w:val="none" w:sz="0" w:space="0" w:color="auto"/>
            <w:bottom w:val="none" w:sz="0" w:space="0" w:color="auto"/>
            <w:right w:val="none" w:sz="0" w:space="0" w:color="auto"/>
          </w:divBdr>
          <w:divsChild>
            <w:div w:id="8356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7AF17-A22B-475E-BE92-09A290D6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Marker</dc:creator>
  <cp:keywords/>
  <dc:description/>
  <cp:lastModifiedBy>Marker</cp:lastModifiedBy>
  <cp:revision>3</cp:revision>
  <dcterms:created xsi:type="dcterms:W3CDTF">2025-03-20T05:22:00Z</dcterms:created>
  <dcterms:modified xsi:type="dcterms:W3CDTF">2025-03-20T05:55:00Z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id="QUSU7Wd6"/&gt;&lt;style id="http://www.zotero.org/styles/apa" locale="en-GB" hasBibliography="1" bibliographyStyleHasBeenSet="1"/&gt;&lt;prefs&gt;&lt;pref name="fieldType" value="Field"/&gt;&lt;/prefs&gt;&lt;/data&gt;</vt:lpwstr>
  </property>
</Properties>
</file>