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0000"/>
          <w:sz w:val="36"/>
          <w:szCs w:val="36"/>
        </w:rPr>
        <w:t xml:space="preserve">From Black-Box to Explainability</w:t>
      </w:r>
    </w:p>
    <w:p>
      <w:pPr>
        <w:spacing w:after="200"/>
        <w:jc w:val="center"/>
      </w:pPr>
      <w:r>
        <w:rPr>
          <w:rFonts w:ascii="Arial" w:cs="Arial" w:eastAsia="Arial" w:hAnsi="Arial"/>
          <w:b/>
          <w:bCs/>
          <w:i/>
          <w:iCs/>
          <w:color w:val="000000"/>
          <w:sz w:val="28"/>
          <w:szCs w:val="28"/>
        </w:rPr>
        <w:t xml:space="preserve">Probabilistic Automata for Time Series Analysis</w:t>
      </w:r>
    </w:p>
    <w:p>
      <w:pPr>
        <w:spacing w:after="80"/>
        <w:jc w:val="center"/>
      </w:pPr>
      <w:r>
        <w:rPr>
          <w:rFonts w:ascii="Arial" w:cs="Arial" w:eastAsia="Arial" w:hAnsi="Arial"/>
          <w:color w:val="000000"/>
          <w:sz w:val="22"/>
          <w:szCs w:val="22"/>
        </w:rPr>
        <w:t xml:space="preserve">Yazılım Geliştirme Dersi — 2. Proje</w:t>
      </w:r>
    </w:p>
    <w:p>
      <w:pPr>
        <w:spacing w:after="60"/>
        <w:jc w:val="center"/>
      </w:pPr>
      <w:r>
        <w:rPr>
          <w:rFonts w:ascii="Arial" w:cs="Arial" w:eastAsia="Arial" w:hAnsi="Arial"/>
          <w:color w:val="000000"/>
          <w:sz w:val="22"/>
          <w:szCs w:val="22"/>
        </w:rPr>
        <w:t xml:space="preserve">Kerem Ünal &amp; Efekan Tosmak</w:t>
      </w:r>
    </w:p>
    <w:p>
      <w:pPr>
        <w:spacing w:after="320"/>
        <w:jc w:val="center"/>
      </w:pPr>
      <w:r>
        <w:rPr>
          <w:rFonts w:ascii="Arial" w:cs="Arial" w:eastAsia="Arial" w:hAnsi="Arial"/>
          <w:color w:val="000000"/>
          <w:sz w:val="22"/>
          <w:szCs w:val="22"/>
        </w:rPr>
        <w:t xml:space="preserve">Haziran 2026</w:t>
      </w:r>
    </w:p>
    <w:p>
      <w:pPr>
        <w:spacing w:after="160" w:line="300"/>
        <w:jc w:val="both"/>
      </w:pPr>
      <w:r>
        <w:rPr>
          <w:rFonts w:ascii="Arial" w:cs="Arial" w:eastAsia="Arial" w:hAnsi="Arial"/>
          <w:color w:val="000000"/>
          <w:sz w:val="22"/>
          <w:szCs w:val="22"/>
        </w:rPr>
        <w:t xml:space="preserve">Bu rapor, iki farklı zaman serisi anomali tespit yaklaşımının — derin öğrenme modelleri (LSTM, GRU, 1D-CNN) ve Probabilistic Automata — SKAB ve BATADAL veri setleri üzerindeki karşılaştırmalı analiz sonuçlarını sunmaktadır.</w:t>
      </w:r>
    </w:p>
    <w:p>
      <w:pPr>
        <w:pStyle w:val="Heading1"/>
        <w:spacing w:after="200" w:before="360"/>
      </w:pPr>
      <w:r>
        <w:rPr>
          <w:rFonts w:ascii="Arial" w:cs="Arial" w:eastAsia="Arial" w:hAnsi="Arial"/>
          <w:b/>
          <w:bCs/>
          <w:color w:val="000000"/>
          <w:sz w:val="28"/>
          <w:szCs w:val="28"/>
        </w:rPr>
        <w:t xml:space="preserve">Veri Setleri ve Yöntem</w:t>
      </w:r>
    </w:p>
    <w:p>
      <w:pPr>
        <w:spacing w:after="160" w:line="300"/>
        <w:jc w:val="both"/>
      </w:pPr>
      <w:r>
        <w:rPr>
          <w:rFonts w:ascii="Arial" w:cs="Arial" w:eastAsia="Arial" w:hAnsi="Arial"/>
          <w:color w:val="000000"/>
          <w:sz w:val="22"/>
          <w:szCs w:val="22"/>
        </w:rPr>
        <w:t xml:space="preserve">SKAB veri seti için yalnızca valve1 ve valve2 klasörlerindeki tüm .csv dosyaları birleştirilmiştir. Her kayda kaynağını gösteren source_group (valve1/valve2) ve source_file (klasör önekli, örn. valve1/0.csv) sütunları eklenmiştir; bu sütunlar yalnızca veri takibi ve dosya bazlı bölme için kullanılmış, model girdisine dahil edilmemiştir. Hedef değişken anomaly sütunudur; datetime, changepoint, source_group ve source_file model girdisinden çıkarılmıştır.</w:t>
      </w:r>
    </w:p>
    <w:p>
      <w:pPr>
        <w:spacing w:after="160" w:line="300"/>
        <w:jc w:val="both"/>
      </w:pPr>
      <w:r>
        <w:rPr>
          <w:rFonts w:ascii="Arial" w:cs="Arial" w:eastAsia="Arial" w:hAnsi="Arial"/>
          <w:color w:val="000000"/>
          <w:sz w:val="22"/>
          <w:szCs w:val="22"/>
        </w:rPr>
        <w:t xml:space="preserve">BATADAL için yalnızca Training Dataset 2 (BATADAL_dataset04.csv) kullanılmıştır. Etiket sütunu ATT_FLAG olup -999 değeri normal, diğer değerler saldırı/anomali olarak kodlanmıştır (anomali oranı ~%5.2). 43 sensör/sistem değişkeni model girdisi olarak, DATETIME ise yalnızca zaman sırasının korunması amacıyla kullanılmıştır.</w:t>
      </w:r>
    </w:p>
    <w:p>
      <w:pPr>
        <w:spacing w:after="160" w:line="300"/>
        <w:jc w:val="both"/>
      </w:pPr>
      <w:r>
        <w:rPr>
          <w:rFonts w:ascii="Arial" w:cs="Arial" w:eastAsia="Arial" w:hAnsi="Arial"/>
          <w:color w:val="000000"/>
          <w:sz w:val="22"/>
          <w:szCs w:val="22"/>
        </w:rPr>
        <w:t xml:space="preserve">Ön işleme adımları eksik verinin sütun ortalamasıyla doldurulması, StandardScaler ile normalizasyon ve PCA ile boyut indirgemeyi içerir. Derin öğrenme modelleri 5 bileşenli PCA, otomata modeli ise tek boyutlu çalıştığından PCA'nın ilk bileşenini (PC1) kullanır.</w:t>
      </w:r>
    </w:p>
    <w:p>
      <w:pPr>
        <w:spacing w:after="160" w:line="300"/>
        <w:jc w:val="both"/>
      </w:pPr>
      <w:r>
        <w:rPr>
          <w:rFonts w:ascii="Arial" w:cs="Arial" w:eastAsia="Arial" w:hAnsi="Arial"/>
          <w:color w:val="000000"/>
          <w:sz w:val="22"/>
          <w:szCs w:val="22"/>
        </w:rPr>
        <w:t xml:space="preserve">Değerlendirme stratejisi veri yapısına uygundur: SKAB için StratifiedGroupKFold (5 fold, source_file grup değişkeni) sayesinde aynı dosyanın kayıtları hem eğitim hem test kümesinde yer almaz; BATADAL için zaman sıralı %60 eğitim / %20 doğrulama / %20 test bölmesi uygulanır. Veri sızıntısını önlemek için StandardScaler, PCA, SAX/PAA sözlüğü ve otomata geçiş olasılıkları yalnızca eğitim verisiyle oluşturulur. Tüm deneyler 5 random seed [42, 123, 2026, 7, 999] ile tekrarlanmış; DL modelleri 50 epoch üst sınırı, 32 batch size ve validation loss üzerinde patience=5 early stopping ile eğitilmiştir.</w:t>
      </w:r>
    </w:p>
    <w:p>
      <w:pPr>
        <w:pStyle w:val="Heading1"/>
        <w:spacing w:after="200" w:before="360"/>
      </w:pPr>
      <w:r>
        <w:rPr>
          <w:rFonts w:ascii="Arial" w:cs="Arial" w:eastAsia="Arial" w:hAnsi="Arial"/>
          <w:b/>
          <w:bCs/>
          <w:color w:val="000000"/>
          <w:sz w:val="28"/>
          <w:szCs w:val="28"/>
        </w:rPr>
        <w:t xml:space="preserve">Yazılım Mimarisi</w:t>
      </w:r>
    </w:p>
    <w:p>
      <w:pPr>
        <w:spacing w:after="160" w:line="300"/>
        <w:jc w:val="both"/>
      </w:pPr>
      <w:r>
        <w:rPr>
          <w:rFonts w:ascii="Arial" w:cs="Arial" w:eastAsia="Arial" w:hAnsi="Arial"/>
          <w:color w:val="000000"/>
          <w:sz w:val="22"/>
          <w:szCs w:val="22"/>
        </w:rPr>
        <w:t xml:space="preserve">Proje parametrik ve modüler bir mimari ile geliştirilmiştir. Tüm parametreler config/config.yaml dosyasında merkezi olarak tutulur ve kodda hard-coded deney parametresi bulunmaz. Veri işleme ile modelleme süreçleri pipeline yapısıyla (loader → preprocessor → model/automata → trainer/runner) tasarlanmış olup konfigürasyondaki bir değişiklik sistemin tamamını otomatik olarak yeniden üretir. Derin öğrenme tarafında LSTM, GRU ve 1D-CNN; otomata tarafında PAA, SAX, sliding-window örüntü çıkarımı, olasılıksal geçişler ve Levenshtein tabanlı unseen yönetimi modülleri yer alır.</w:t>
      </w:r>
    </w:p>
    <w:p>
      <w:pPr>
        <w:pStyle w:val="Heading1"/>
        <w:spacing w:after="200" w:before="360"/>
      </w:pPr>
      <w:r>
        <w:rPr>
          <w:rFonts w:ascii="Arial" w:cs="Arial" w:eastAsia="Arial" w:hAnsi="Arial"/>
          <w:b/>
          <w:bCs/>
          <w:color w:val="000000"/>
          <w:sz w:val="28"/>
          <w:szCs w:val="28"/>
        </w:rPr>
        <w:t xml:space="preserve">1. Temel Performans ve Stabilite</w:t>
      </w:r>
    </w:p>
    <w:p>
      <w:pPr>
        <w:spacing w:after="160" w:line="300"/>
        <w:jc w:val="both"/>
      </w:pPr>
      <w:r>
        <w:rPr>
          <w:rFonts w:ascii="Arial" w:cs="Arial" w:eastAsia="Arial" w:hAnsi="Arial"/>
          <w:color w:val="000000"/>
          <w:sz w:val="22"/>
          <w:szCs w:val="22"/>
        </w:rPr>
        <w:t xml:space="preserve">Aşağıdaki tablo, modellerin iki farklı veri seti üzerindeki ortalama F1-skorlarını ve 5 farklı random seed [42, 123, 2026, 7, 999] ile elde edilen standart sapma değerlerini göstermektedir.</w:t>
      </w:r>
    </w:p>
    <w:p>
      <w:pPr>
        <w:spacing w:after="100" w:before="180"/>
        <w:jc w:val="left"/>
      </w:pPr>
      <w:r>
        <w:rPr>
          <w:rFonts w:ascii="Arial" w:cs="Arial" w:eastAsia="Arial" w:hAnsi="Arial"/>
          <w:b/>
          <w:bCs/>
          <w:i/>
          <w:iCs/>
          <w:color w:val="000000"/>
          <w:sz w:val="20"/>
          <w:szCs w:val="20"/>
        </w:rPr>
        <w:t xml:space="preserve">Tablo 1: Model Performansı ve Stabilitesi (Ortalama F1-score ± Standart Sapma)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Model</w:t>
            </w:r>
          </w:p>
        </w:tc>
        <w:tc>
          <w:tcPr>
            <w:tcW w:type="dxa" w:w="351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SKAB F1 (mean ± std)</w:t>
            </w:r>
          </w:p>
        </w:tc>
        <w:tc>
          <w:tcPr>
            <w:tcW w:type="dxa" w:w="351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BATADAL F1 (mean ± std)</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LSTM</w:t>
            </w:r>
          </w:p>
        </w:tc>
        <w:tc>
          <w:tcPr>
            <w:tcW w:type="dxa" w:w="351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0.9066 ± 0.0272</w:t>
            </w:r>
          </w:p>
        </w:tc>
        <w:tc>
          <w:tcPr>
            <w:tcW w:type="dxa" w:w="351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0.5799 ± 0.0711</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GRU</w:t>
            </w:r>
          </w:p>
        </w:tc>
        <w:tc>
          <w:tcPr>
            <w:tcW w:type="dxa" w:w="351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0.8974 ± 0.0289</w:t>
            </w:r>
          </w:p>
        </w:tc>
        <w:tc>
          <w:tcPr>
            <w:tcW w:type="dxa" w:w="351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0.5704 ± 0.0572</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1D-CNN</w:t>
            </w:r>
          </w:p>
        </w:tc>
        <w:tc>
          <w:tcPr>
            <w:tcW w:type="dxa" w:w="351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0.8957 ± 0.0452</w:t>
            </w:r>
          </w:p>
        </w:tc>
        <w:tc>
          <w:tcPr>
            <w:tcW w:type="dxa" w:w="351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0.4666 ± 0.0899</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Automata</w:t>
            </w:r>
          </w:p>
        </w:tc>
        <w:tc>
          <w:tcPr>
            <w:tcW w:type="dxa" w:w="351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0.4777 ± 0.0193</w:t>
            </w:r>
          </w:p>
        </w:tc>
        <w:tc>
          <w:tcPr>
            <w:tcW w:type="dxa" w:w="351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0.1522 ± 0.0000</w:t>
            </w:r>
          </w:p>
        </w:tc>
      </w:tr>
    </w:tbl>
    <w:p>
      <w:pPr>
        <w:pStyle w:val="Heading1"/>
        <w:spacing w:after="200" w:before="360"/>
      </w:pPr>
      <w:r>
        <w:rPr>
          <w:rFonts w:ascii="Arial" w:cs="Arial" w:eastAsia="Arial" w:hAnsi="Arial"/>
          <w:b/>
          <w:bCs/>
          <w:color w:val="000000"/>
          <w:sz w:val="28"/>
          <w:szCs w:val="28"/>
        </w:rPr>
        <w:t xml:space="preserve">2. Gürültü ve Unseen Veri Analizi (Robustness)</w:t>
      </w:r>
    </w:p>
    <w:p>
      <w:pPr>
        <w:spacing w:after="160" w:line="300"/>
        <w:jc w:val="both"/>
      </w:pPr>
      <w:r>
        <w:rPr>
          <w:rFonts w:ascii="Arial" w:cs="Arial" w:eastAsia="Arial" w:hAnsi="Arial"/>
          <w:color w:val="000000"/>
          <w:sz w:val="22"/>
          <w:szCs w:val="22"/>
        </w:rPr>
        <w:t xml:space="preserve">Modellerin veri kalitesindeki düşüşlere ve daha önce karşılaşılmamış örüntülere (unseen patterns) karşı direnci Gaussian gürültü (std = 0.1) eklenerek ve unseen senaryo ile ölçülmüştür. Unseen Oranı sütunu Automata'nın test verisinde eğitim sözlüğünde bulunmayan örüntülerle karşılaşma oranını göstermektedir.</w:t>
      </w:r>
    </w:p>
    <w:p>
      <w:pPr>
        <w:pStyle w:val="Heading2"/>
        <w:spacing w:after="140" w:before="220"/>
      </w:pPr>
      <w:r>
        <w:rPr>
          <w:rFonts w:ascii="Arial" w:cs="Arial" w:eastAsia="Arial" w:hAnsi="Arial"/>
          <w:b/>
          <w:bCs/>
          <w:color w:val="000000"/>
          <w:sz w:val="24"/>
          <w:szCs w:val="24"/>
        </w:rPr>
        <w:t xml:space="preserve">SKAB Veri Seti</w:t>
      </w:r>
    </w:p>
    <w:p>
      <w:pPr>
        <w:spacing w:after="100" w:before="180"/>
        <w:jc w:val="left"/>
      </w:pPr>
      <w:r>
        <w:rPr>
          <w:rFonts w:ascii="Arial" w:cs="Arial" w:eastAsia="Arial" w:hAnsi="Arial"/>
          <w:b/>
          <w:bCs/>
          <w:i/>
          <w:iCs/>
          <w:color w:val="000000"/>
          <w:sz w:val="20"/>
          <w:szCs w:val="20"/>
        </w:rPr>
        <w:t xml:space="preserve">Tablo 2a: SKAB — Gürültü Etkisi ve Unseen Analizi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Model</w:t>
            </w:r>
          </w:p>
        </w:tc>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Orijinal F1</w:t>
            </w:r>
          </w:p>
        </w:tc>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Gürültülü F1</w:t>
            </w:r>
          </w:p>
        </w:tc>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F1 Değişimi</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LSTM</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0.9066</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0.9022</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-0.0044</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GRU</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0.8974</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0.9005</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+0.0031</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1D-CNN</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0.8957</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0.8937</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-0.0020</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Automata</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0.4777 (unseen: 0.0027)</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0.4768</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-0.0009</w:t>
            </w:r>
          </w:p>
        </w:tc>
      </w:tr>
    </w:tbl>
    <w:p>
      <w:pPr>
        <w:pStyle w:val="Heading2"/>
        <w:spacing w:after="140" w:before="220"/>
      </w:pPr>
      <w:r>
        <w:rPr>
          <w:rFonts w:ascii="Arial" w:cs="Arial" w:eastAsia="Arial" w:hAnsi="Arial"/>
          <w:b/>
          <w:bCs/>
          <w:color w:val="000000"/>
          <w:sz w:val="24"/>
          <w:szCs w:val="24"/>
        </w:rPr>
        <w:t xml:space="preserve">BATADAL Veri Seti</w:t>
      </w:r>
    </w:p>
    <w:p>
      <w:pPr>
        <w:spacing w:after="100" w:before="180"/>
        <w:jc w:val="left"/>
      </w:pPr>
      <w:r>
        <w:rPr>
          <w:rFonts w:ascii="Arial" w:cs="Arial" w:eastAsia="Arial" w:hAnsi="Arial"/>
          <w:b/>
          <w:bCs/>
          <w:i/>
          <w:iCs/>
          <w:color w:val="000000"/>
          <w:sz w:val="20"/>
          <w:szCs w:val="20"/>
        </w:rPr>
        <w:t xml:space="preserve">Tablo 2b: BATADAL — Gürültü Etkisi ve Unseen Analizi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Model</w:t>
            </w:r>
          </w:p>
        </w:tc>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Orijinal F1</w:t>
            </w:r>
          </w:p>
        </w:tc>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Gürültülü F1</w:t>
            </w:r>
          </w:p>
        </w:tc>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F1 Değişimi</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LSTM</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0.5799</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0.5462</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-0.0337</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GRU</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0.5704</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0.5616</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-0.0088</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1D-CNN</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0.4666</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0.4270</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-0.0396</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Automata</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0.1522 (unseen: 0.0291)</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0.1935</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+0.0413</w:t>
            </w:r>
          </w:p>
        </w:tc>
      </w:tr>
    </w:tbl>
    <w:p>
      <w:pPr>
        <w:pStyle w:val="Heading1"/>
        <w:spacing w:after="200" w:before="360"/>
      </w:pPr>
      <w:r>
        <w:rPr>
          <w:rFonts w:ascii="Arial" w:cs="Arial" w:eastAsia="Arial" w:hAnsi="Arial"/>
          <w:b/>
          <w:bCs/>
          <w:color w:val="000000"/>
          <w:sz w:val="28"/>
          <w:szCs w:val="28"/>
        </w:rPr>
        <w:t xml:space="preserve">3. Çapraz Veri Seti (Cross-Dataset) Karşılaştırması</w:t>
      </w:r>
    </w:p>
    <w:p>
      <w:pPr>
        <w:spacing w:after="160" w:line="300"/>
        <w:jc w:val="both"/>
      </w:pPr>
      <w:r>
        <w:rPr>
          <w:rFonts w:ascii="Arial" w:cs="Arial" w:eastAsia="Arial" w:hAnsi="Arial"/>
          <w:color w:val="000000"/>
          <w:sz w:val="22"/>
          <w:szCs w:val="22"/>
        </w:rPr>
        <w:t xml:space="preserve">Aynı model her iki veri seti üzerinde bağımsız olarak eğitilip test edilmiştir. Tablo, her veri seti için orijinal senaryodaki F1 değerlerini karşılaştırmaktadır.</w:t>
      </w:r>
    </w:p>
    <w:p>
      <w:pPr>
        <w:spacing w:after="100" w:before="180"/>
        <w:jc w:val="left"/>
      </w:pPr>
      <w:r>
        <w:rPr>
          <w:rFonts w:ascii="Arial" w:cs="Arial" w:eastAsia="Arial" w:hAnsi="Arial"/>
          <w:b/>
          <w:bCs/>
          <w:i/>
          <w:iCs/>
          <w:color w:val="000000"/>
          <w:sz w:val="20"/>
          <w:szCs w:val="20"/>
        </w:rPr>
        <w:t xml:space="preserve">Tablo 3: Cross-Dataset Performans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Model</w:t>
            </w:r>
          </w:p>
        </w:tc>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SKAB F1</w:t>
            </w:r>
          </w:p>
        </w:tc>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BATADAL F1</w:t>
            </w:r>
          </w:p>
        </w:tc>
        <w:tc>
          <w:tcPr>
            <w:tcW w:type="dxa" w:w="234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Fark (SKAB − BATADAL)</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LSTM</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0.9066</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0.5799</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+0.3267</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GRU</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0.8974</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0.5704</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+0.3270</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1D-CNN</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0.8957</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0.4666</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+0.4291</w:t>
            </w:r>
          </w:p>
        </w:tc>
      </w:tr>
      <w:tr>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Automata</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0.4777</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0.1522</w:t>
            </w:r>
          </w:p>
        </w:tc>
        <w:tc>
          <w:tcPr>
            <w:tcW w:type="dxa" w:w="234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+0.3255</w:t>
            </w:r>
          </w:p>
        </w:tc>
      </w:tr>
    </w:tbl>
    <w:p>
      <w:pPr>
        <w:spacing w:after="80"/>
      </w:pPr>
      <w:r>
        <w:rPr>
          <w:rFonts w:ascii="Arial" w:cs="Arial" w:eastAsia="Arial" w:hAnsi="Arial"/>
        </w:rPr>
        <w:t xml:space="preserve"/>
      </w:r>
    </w:p>
    <w:p>
      <w:pPr>
        <w:spacing w:after="160" w:line="300"/>
        <w:jc w:val="both"/>
      </w:pPr>
      <w:r>
        <w:rPr>
          <w:rFonts w:ascii="Arial" w:cs="Arial" w:eastAsia="Arial" w:hAnsi="Arial"/>
          <w:color w:val="000000"/>
          <w:sz w:val="22"/>
          <w:szCs w:val="22"/>
        </w:rPr>
        <w:t xml:space="preserve">DL modelleri SKAB'da belirgin şekilde daha yüksek F1 elde etmektedir (fark ≈ 0.31–0.43). BATADAL'ın daha yüksek sınıf dengesizliği (~%5.2 anomali) ve 43 boyutlu sensör uzayı bu farkın başlıca nedenleridir. Automata da SKAB'da daha iyi sonuç vermektedir (fark ≈ 0.31).</w:t>
      </w:r>
    </w:p>
    <w:p>
      <w:pPr>
        <w:pStyle w:val="Heading1"/>
        <w:spacing w:after="200" w:before="360"/>
      </w:pPr>
      <w:r>
        <w:rPr>
          <w:rFonts w:ascii="Arial" w:cs="Arial" w:eastAsia="Arial" w:hAnsi="Arial"/>
          <w:b/>
          <w:bCs/>
          <w:color w:val="000000"/>
          <w:sz w:val="28"/>
          <w:szCs w:val="28"/>
        </w:rPr>
        <w:t xml:space="preserve">4. Automata Parametre ve Süre Analizi</w:t>
      </w:r>
    </w:p>
    <w:p>
      <w:pPr>
        <w:spacing w:after="160" w:line="300"/>
        <w:jc w:val="both"/>
      </w:pPr>
      <w:r>
        <w:rPr>
          <w:rFonts w:ascii="Arial" w:cs="Arial" w:eastAsia="Arial" w:hAnsi="Arial"/>
          <w:color w:val="000000"/>
          <w:sz w:val="22"/>
          <w:szCs w:val="22"/>
        </w:rPr>
        <w:t xml:space="preserve">Automata modelinin Window Size ve Alphabet Size parametrelerinin F1 ve state sayısına etkisi aşağıda özetlenmiştir (BATADAL verisi üzerinde).</w:t>
      </w:r>
    </w:p>
    <w:p>
      <w:pPr>
        <w:spacing w:after="100" w:before="180"/>
        <w:jc w:val="left"/>
      </w:pPr>
      <w:r>
        <w:rPr>
          <w:rFonts w:ascii="Arial" w:cs="Arial" w:eastAsia="Arial" w:hAnsi="Arial"/>
          <w:b/>
          <w:bCs/>
          <w:i/>
          <w:iCs/>
          <w:color w:val="000000"/>
          <w:sz w:val="20"/>
          <w:szCs w:val="20"/>
        </w:rPr>
        <w:t xml:space="preserve">Tablo 4: Automata Parametre Duyarlılık Analizi — F1-score (BATADAL)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Window Size</w:t>
            </w:r>
          </w:p>
        </w:tc>
        <w:tc>
          <w:tcPr>
            <w:tcW w:type="dxa" w:w="187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as=3</w:t>
            </w:r>
          </w:p>
        </w:tc>
        <w:tc>
          <w:tcPr>
            <w:tcW w:type="dxa" w:w="187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as=4</w:t>
            </w:r>
          </w:p>
        </w:tc>
        <w:tc>
          <w:tcPr>
            <w:tcW w:type="dxa" w:w="187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as=5</w:t>
            </w:r>
          </w:p>
        </w:tc>
        <w:tc>
          <w:tcPr>
            <w:tcW w:type="dxa" w:w="187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as=6</w:t>
            </w:r>
          </w:p>
        </w:tc>
      </w:tr>
      <w:tr>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bCs/>
                <w:color w:val="000000"/>
                <w:sz w:val="20"/>
                <w:szCs w:val="20"/>
              </w:rPr>
              <w:t xml:space="preserve">ws=3</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0.2045</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0.1271</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0.1711</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0.1139</w:t>
            </w:r>
          </w:p>
        </w:tc>
      </w:tr>
      <w:tr>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bCs/>
                <w:color w:val="000000"/>
                <w:sz w:val="20"/>
                <w:szCs w:val="20"/>
              </w:rPr>
              <w:t xml:space="preserve">ws=4</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0.1522</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0.1708</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0.1533</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0.0000</w:t>
            </w:r>
          </w:p>
        </w:tc>
      </w:tr>
      <w:tr>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bCs/>
                <w:color w:val="000000"/>
                <w:sz w:val="20"/>
                <w:szCs w:val="20"/>
              </w:rPr>
              <w:t xml:space="preserve">ws=5</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0.0500</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0.2237</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0.2362</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0.1922</w:t>
            </w:r>
          </w:p>
        </w:tc>
      </w:tr>
      <w:tr>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bCs/>
                <w:color w:val="000000"/>
                <w:sz w:val="20"/>
                <w:szCs w:val="20"/>
              </w:rPr>
              <w:t xml:space="preserve">ws=6</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0.1969</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0.1964</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0.1648</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0.1915</w:t>
            </w:r>
          </w:p>
        </w:tc>
      </w:tr>
    </w:tbl>
    <w:p>
      <w:pPr>
        <w:spacing w:after="80"/>
      </w:pPr>
      <w:r>
        <w:rPr>
          <w:rFonts w:ascii="Arial" w:cs="Arial" w:eastAsia="Arial" w:hAnsi="Arial"/>
        </w:rPr>
        <w:t xml:space="preserve"/>
      </w:r>
    </w:p>
    <w:p>
      <w:pPr>
        <w:spacing w:after="100" w:before="180"/>
        <w:jc w:val="left"/>
      </w:pPr>
      <w:r>
        <w:rPr>
          <w:rFonts w:ascii="Arial" w:cs="Arial" w:eastAsia="Arial" w:hAnsi="Arial"/>
          <w:b/>
          <w:bCs/>
          <w:i/>
          <w:iCs/>
          <w:color w:val="000000"/>
          <w:sz w:val="20"/>
          <w:szCs w:val="20"/>
        </w:rPr>
        <w:t xml:space="preserve">Tablo 4b: State Sayısı (BATADAL)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Window Size</w:t>
            </w:r>
          </w:p>
        </w:tc>
        <w:tc>
          <w:tcPr>
            <w:tcW w:type="dxa" w:w="187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as=3</w:t>
            </w:r>
          </w:p>
        </w:tc>
        <w:tc>
          <w:tcPr>
            <w:tcW w:type="dxa" w:w="187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as=4</w:t>
            </w:r>
          </w:p>
        </w:tc>
        <w:tc>
          <w:tcPr>
            <w:tcW w:type="dxa" w:w="187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as=5</w:t>
            </w:r>
          </w:p>
        </w:tc>
        <w:tc>
          <w:tcPr>
            <w:tcW w:type="dxa" w:w="187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as=6</w:t>
            </w:r>
          </w:p>
        </w:tc>
      </w:tr>
      <w:tr>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bCs/>
                <w:color w:val="000000"/>
                <w:sz w:val="20"/>
                <w:szCs w:val="20"/>
              </w:rPr>
              <w:t xml:space="preserve">ws=3</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26</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59</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112</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178</w:t>
            </w:r>
          </w:p>
        </w:tc>
      </w:tr>
      <w:tr>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bCs/>
                <w:color w:val="000000"/>
                <w:sz w:val="20"/>
                <w:szCs w:val="20"/>
              </w:rPr>
              <w:t xml:space="preserve">ws=4</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76</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176</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258</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338</w:t>
            </w:r>
          </w:p>
        </w:tc>
      </w:tr>
      <w:tr>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bCs/>
                <w:color w:val="000000"/>
                <w:sz w:val="20"/>
                <w:szCs w:val="20"/>
              </w:rPr>
              <w:t xml:space="preserve">ws=5</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170</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298</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367</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425</w:t>
            </w:r>
          </w:p>
        </w:tc>
      </w:tr>
      <w:tr>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bCs/>
                <w:color w:val="000000"/>
                <w:sz w:val="20"/>
                <w:szCs w:val="20"/>
              </w:rPr>
              <w:t xml:space="preserve">ws=6</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200</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304</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341</w:t>
            </w:r>
          </w:p>
        </w:tc>
        <w:tc>
          <w:tcPr>
            <w:tcW w:type="dxa" w:w="1872"/>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375</w:t>
            </w:r>
          </w:p>
        </w:tc>
      </w:tr>
    </w:tbl>
    <w:p>
      <w:pPr>
        <w:spacing w:after="80"/>
      </w:pPr>
      <w:r>
        <w:rPr>
          <w:rFonts w:ascii="Arial" w:cs="Arial" w:eastAsia="Arial" w:hAnsi="Arial"/>
        </w:rPr>
        <w:t xml:space="preserve"/>
      </w:r>
    </w:p>
    <w:p>
      <w:pPr>
        <w:spacing w:after="160" w:line="300"/>
        <w:jc w:val="both"/>
      </w:pPr>
      <w:r>
        <w:rPr>
          <w:rFonts w:ascii="Arial" w:cs="Arial" w:eastAsia="Arial" w:hAnsi="Arial"/>
          <w:color w:val="000000"/>
          <w:sz w:val="22"/>
          <w:szCs w:val="22"/>
        </w:rPr>
        <w:t xml:space="preserve">Aşağıdaki tablo modellerin ortalama eğitim ve çıkarım sürelerini göstermektedir (5 seed ortalaması, BATADAL verisi).</w:t>
      </w:r>
    </w:p>
    <w:p>
      <w:pPr>
        <w:spacing w:after="100" w:before="180"/>
        <w:jc w:val="left"/>
      </w:pPr>
      <w:r>
        <w:rPr>
          <w:rFonts w:ascii="Arial" w:cs="Arial" w:eastAsia="Arial" w:hAnsi="Arial"/>
          <w:b/>
          <w:bCs/>
          <w:i/>
          <w:iCs/>
          <w:color w:val="000000"/>
          <w:sz w:val="20"/>
          <w:szCs w:val="20"/>
        </w:rPr>
        <w:t xml:space="preserve">Tablo 5: Modellerin Çalışma Süresi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Model</w:t>
            </w:r>
          </w:p>
        </w:tc>
        <w:tc>
          <w:tcPr>
            <w:tcW w:type="dxa" w:w="312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Eğitim Süresi (sn)</w:t>
            </w:r>
          </w:p>
        </w:tc>
        <w:tc>
          <w:tcPr>
            <w:tcW w:type="dxa" w:w="312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Çıkarım Süresi (sn)</w:t>
            </w:r>
          </w:p>
        </w:tc>
      </w:tr>
      <w:tr>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LSTM</w:t>
            </w:r>
          </w:p>
        </w:tc>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3.4</w:t>
            </w:r>
          </w:p>
        </w:tc>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0.024</w:t>
            </w:r>
          </w:p>
        </w:tc>
      </w:tr>
      <w:tr>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GRU</w:t>
            </w:r>
          </w:p>
        </w:tc>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10.0</w:t>
            </w:r>
          </w:p>
        </w:tc>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0.047</w:t>
            </w:r>
          </w:p>
        </w:tc>
      </w:tr>
      <w:tr>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1D-CNN</w:t>
            </w:r>
          </w:p>
        </w:tc>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1.4</w:t>
            </w:r>
          </w:p>
        </w:tc>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0.009</w:t>
            </w:r>
          </w:p>
        </w:tc>
      </w:tr>
      <w:tr>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Automata</w:t>
            </w:r>
          </w:p>
        </w:tc>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0.012</w:t>
            </w:r>
          </w:p>
        </w:tc>
        <w:tc>
          <w:tcPr>
            <w:tcW w:type="dxa" w:w="3120"/>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0.003</w:t>
            </w:r>
          </w:p>
        </w:tc>
      </w:tr>
    </w:tbl>
    <w:p>
      <w:pPr>
        <w:pStyle w:val="Heading1"/>
        <w:spacing w:after="200" w:before="360"/>
      </w:pPr>
      <w:r>
        <w:rPr>
          <w:rFonts w:ascii="Arial" w:cs="Arial" w:eastAsia="Arial" w:hAnsi="Arial"/>
          <w:b/>
          <w:bCs/>
          <w:color w:val="000000"/>
          <w:sz w:val="28"/>
          <w:szCs w:val="28"/>
        </w:rPr>
        <w:t xml:space="preserve">5. İstatistiksel Analiz (McNemar Testi)</w:t>
      </w:r>
    </w:p>
    <w:p>
      <w:pPr>
        <w:spacing w:after="160" w:line="300"/>
        <w:jc w:val="both"/>
      </w:pPr>
      <w:r>
        <w:rPr>
          <w:rFonts w:ascii="Arial" w:cs="Arial" w:eastAsia="Arial" w:hAnsi="Arial"/>
          <w:color w:val="000000"/>
          <w:sz w:val="22"/>
          <w:szCs w:val="22"/>
        </w:rPr>
        <w:t xml:space="preserve">Model farklarının anlamlılığı McNemar testi ile değerlendirilmiştir. p &lt; 0.05 anlamlı fark gösterir (✓), p ≥ 0.05 anlamsızdır (✗).</w:t>
      </w:r>
    </w:p>
    <w:p>
      <w:pPr>
        <w:pStyle w:val="Heading2"/>
        <w:spacing w:after="140" w:before="220"/>
      </w:pPr>
      <w:r>
        <w:rPr>
          <w:rFonts w:ascii="Arial" w:cs="Arial" w:eastAsia="Arial" w:hAnsi="Arial"/>
          <w:b/>
          <w:bCs/>
          <w:color w:val="000000"/>
          <w:sz w:val="24"/>
          <w:szCs w:val="24"/>
        </w:rPr>
        <w:t xml:space="preserve">BATADAL</w:t>
      </w:r>
    </w:p>
    <w:p>
      <w:pPr>
        <w:spacing w:after="100" w:before="180"/>
        <w:jc w:val="left"/>
      </w:pPr>
      <w:r>
        <w:rPr>
          <w:rFonts w:ascii="Arial" w:cs="Arial" w:eastAsia="Arial" w:hAnsi="Arial"/>
          <w:b/>
          <w:bCs/>
          <w:i/>
          <w:iCs/>
          <w:color w:val="000000"/>
          <w:sz w:val="20"/>
          <w:szCs w:val="20"/>
        </w:rPr>
        <w:t xml:space="preserve">Tablo 6a: BATADAL — McNemar Testi Sonuçları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38"/>
        <w:gridCol w:w="1638"/>
        <w:gridCol w:w="1638"/>
        <w:gridCol w:w="1638"/>
      </w:tblGrid>
      <w:tr>
        <w:tc>
          <w:tcPr>
            <w:tcW w:type="dxa" w:w="280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Karşılaştırma</w:t>
            </w:r>
          </w:p>
        </w:tc>
        <w:tc>
          <w:tcPr>
            <w:tcW w:type="dxa" w:w="163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Original p</w:t>
            </w:r>
          </w:p>
        </w:tc>
        <w:tc>
          <w:tcPr>
            <w:tcW w:type="dxa" w:w="163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Original</w:t>
            </w:r>
          </w:p>
        </w:tc>
        <w:tc>
          <w:tcPr>
            <w:tcW w:type="dxa" w:w="163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Noisy p</w:t>
            </w:r>
          </w:p>
        </w:tc>
        <w:tc>
          <w:tcPr>
            <w:tcW w:type="dxa" w:w="163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Noisy</w:t>
            </w:r>
          </w:p>
        </w:tc>
      </w:tr>
      <w:tr>
        <w:tc>
          <w:tcPr>
            <w:tcW w:type="dxa" w:w="280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LSTM vs GRU</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0.0000</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0.0000</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r>
      <w:tr>
        <w:tc>
          <w:tcPr>
            <w:tcW w:type="dxa" w:w="280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LSTM vs CNN</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0.0055</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0.0000</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r>
      <w:tr>
        <w:tc>
          <w:tcPr>
            <w:tcW w:type="dxa" w:w="280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GRU vs CNN</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0.0002</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0.0001</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r>
    </w:tbl>
    <w:p>
      <w:pPr>
        <w:pStyle w:val="Heading2"/>
        <w:spacing w:after="140" w:before="220"/>
      </w:pPr>
      <w:r>
        <w:rPr>
          <w:rFonts w:ascii="Arial" w:cs="Arial" w:eastAsia="Arial" w:hAnsi="Arial"/>
          <w:b/>
          <w:bCs/>
          <w:color w:val="000000"/>
          <w:sz w:val="24"/>
          <w:szCs w:val="24"/>
        </w:rPr>
        <w:t xml:space="preserve">SKAB</w:t>
      </w:r>
    </w:p>
    <w:p>
      <w:pPr>
        <w:spacing w:after="100" w:before="180"/>
        <w:jc w:val="left"/>
      </w:pPr>
      <w:r>
        <w:rPr>
          <w:rFonts w:ascii="Arial" w:cs="Arial" w:eastAsia="Arial" w:hAnsi="Arial"/>
          <w:b/>
          <w:bCs/>
          <w:i/>
          <w:iCs/>
          <w:color w:val="000000"/>
          <w:sz w:val="20"/>
          <w:szCs w:val="20"/>
        </w:rPr>
        <w:t xml:space="preserve">Tablo 6b: SKAB — McNemar Testi Sonuçları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38"/>
        <w:gridCol w:w="1638"/>
        <w:gridCol w:w="1638"/>
        <w:gridCol w:w="1638"/>
      </w:tblGrid>
      <w:tr>
        <w:tc>
          <w:tcPr>
            <w:tcW w:type="dxa" w:w="280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Karşılaştırma</w:t>
            </w:r>
          </w:p>
        </w:tc>
        <w:tc>
          <w:tcPr>
            <w:tcW w:type="dxa" w:w="163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Original p</w:t>
            </w:r>
          </w:p>
        </w:tc>
        <w:tc>
          <w:tcPr>
            <w:tcW w:type="dxa" w:w="163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Original</w:t>
            </w:r>
          </w:p>
        </w:tc>
        <w:tc>
          <w:tcPr>
            <w:tcW w:type="dxa" w:w="163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Noisy p</w:t>
            </w:r>
          </w:p>
        </w:tc>
        <w:tc>
          <w:tcPr>
            <w:tcW w:type="dxa" w:w="163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Noisy</w:t>
            </w:r>
          </w:p>
        </w:tc>
      </w:tr>
      <w:tr>
        <w:tc>
          <w:tcPr>
            <w:tcW w:type="dxa" w:w="280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LSTM vs GRU</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0.0000</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0.0000</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r>
      <w:tr>
        <w:tc>
          <w:tcPr>
            <w:tcW w:type="dxa" w:w="280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LSTM vs CNN</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0.0000</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0.0000</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r>
      <w:tr>
        <w:tc>
          <w:tcPr>
            <w:tcW w:type="dxa" w:w="280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left"/>
            </w:pPr>
            <w:r>
              <w:rPr>
                <w:rFonts w:ascii="Arial" w:cs="Arial" w:eastAsia="Arial" w:hAnsi="Arial"/>
                <w:b/>
                <w:bCs/>
                <w:color w:val="000000"/>
                <w:sz w:val="20"/>
                <w:szCs w:val="20"/>
              </w:rPr>
              <w:t xml:space="preserve">GRU vs CNN</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0.0022</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0.0000</w:t>
            </w:r>
          </w:p>
        </w:tc>
        <w:tc>
          <w:tcPr>
            <w:tcW w:type="dxa" w:w="1638"/>
            <w:tcBorders>
              <w:top w:val="single" w:color="000000" w:sz="6"/>
              <w:left w:val="single" w:color="000000" w:sz="6"/>
              <w:bottom w:val="single" w:color="000000" w:sz="6"/>
              <w:right w:val="single" w:color="000000" w:sz="6"/>
            </w:tcBorders>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w:t>
            </w:r>
          </w:p>
        </w:tc>
      </w:tr>
    </w:tbl>
    <w:p>
      <w:pPr>
        <w:pStyle w:val="Heading1"/>
        <w:spacing w:after="200" w:before="360"/>
      </w:pPr>
      <w:r>
        <w:rPr>
          <w:rFonts w:ascii="Arial" w:cs="Arial" w:eastAsia="Arial" w:hAnsi="Arial"/>
          <w:b/>
          <w:bCs/>
          <w:color w:val="000000"/>
          <w:sz w:val="28"/>
          <w:szCs w:val="28"/>
        </w:rPr>
        <w:t xml:space="preserve">6. Açıklanabilirlik Modülü — Örnek Çıktı</w:t>
      </w:r>
    </w:p>
    <w:p>
      <w:pPr>
        <w:spacing w:after="160" w:line="300"/>
        <w:jc w:val="both"/>
      </w:pPr>
      <w:r>
        <w:rPr>
          <w:rFonts w:ascii="Arial" w:cs="Arial" w:eastAsia="Arial" w:hAnsi="Arial"/>
          <w:color w:val="000000"/>
          <w:sz w:val="22"/>
          <w:szCs w:val="22"/>
        </w:rPr>
        <w:t xml:space="preserve">Automata modeli her tahmin için deterministik ve yeniden üretilebilir açıklamalar üretmektedir. Aşağıda bir unseen pattern durumu için üretilen JSON çıktısı gösterilmektedir.</w:t>
      </w:r>
    </w:p>
    <w:p>
      <w:pPr>
        <w:spacing w:after="80"/>
      </w:pPr>
      <w:r>
        <w:rPr>
          <w:rFonts w:ascii="Arial" w:cs="Arial" w:eastAsia="Arial" w:hAnsi="Arial"/>
        </w:rPr>
        <w:t xml:space="preserve"/>
      </w:r>
    </w:p>
    <w:p>
      <w:pPr>
        <w:spacing w:after="0" w:line="240"/>
        <w:ind w:left="360"/>
        <w:jc w:val="left"/>
      </w:pPr>
      <w:r>
        <w:rPr>
          <w:rFonts w:ascii="Courier New" w:cs="Courier New" w:eastAsia="Courier New" w:hAnsi="Courier New"/>
          <w:color w:val="000000"/>
          <w:sz w:val="20"/>
          <w:szCs w:val="20"/>
        </w:rPr>
        <w:t xml:space="preserve">{</w:t>
      </w:r>
    </w:p>
    <w:p>
      <w:pPr>
        <w:spacing w:after="0" w:line="240"/>
        <w:ind w:left="360"/>
        <w:jc w:val="left"/>
      </w:pPr>
      <w:r>
        <w:rPr>
          <w:rFonts w:ascii="Courier New" w:cs="Courier New" w:eastAsia="Courier New" w:hAnsi="Courier New"/>
          <w:color w:val="000000"/>
          <w:sz w:val="20"/>
          <w:szCs w:val="20"/>
        </w:rPr>
        <w:t xml:space="preserve">  "time_step": 5,</w:t>
      </w:r>
    </w:p>
    <w:p>
      <w:pPr>
        <w:spacing w:after="0" w:line="240"/>
        <w:ind w:left="360"/>
        <w:jc w:val="left"/>
      </w:pPr>
      <w:r>
        <w:rPr>
          <w:rFonts w:ascii="Courier New" w:cs="Courier New" w:eastAsia="Courier New" w:hAnsi="Courier New"/>
          <w:color w:val="000000"/>
          <w:sz w:val="20"/>
          <w:szCs w:val="20"/>
        </w:rPr>
        <w:t xml:space="preserve">  "state": "abc",</w:t>
      </w:r>
    </w:p>
    <w:p>
      <w:pPr>
        <w:spacing w:after="0" w:line="240"/>
        <w:ind w:left="360"/>
        <w:jc w:val="left"/>
      </w:pPr>
      <w:r>
        <w:rPr>
          <w:rFonts w:ascii="Courier New" w:cs="Courier New" w:eastAsia="Courier New" w:hAnsi="Courier New"/>
          <w:color w:val="000000"/>
          <w:sz w:val="20"/>
          <w:szCs w:val="20"/>
        </w:rPr>
        <w:t xml:space="preserve">  "pattern": "adc",</w:t>
      </w:r>
    </w:p>
    <w:p>
      <w:pPr>
        <w:spacing w:after="0" w:line="240"/>
        <w:ind w:left="360"/>
        <w:jc w:val="left"/>
      </w:pPr>
      <w:r>
        <w:rPr>
          <w:rFonts w:ascii="Courier New" w:cs="Courier New" w:eastAsia="Courier New" w:hAnsi="Courier New"/>
          <w:color w:val="000000"/>
          <w:sz w:val="20"/>
          <w:szCs w:val="20"/>
        </w:rPr>
        <w:t xml:space="preserve">  "status": "unseen",</w:t>
      </w:r>
    </w:p>
    <w:p>
      <w:pPr>
        <w:spacing w:after="0" w:line="240"/>
        <w:ind w:left="360"/>
        <w:jc w:val="left"/>
      </w:pPr>
      <w:r>
        <w:rPr>
          <w:rFonts w:ascii="Courier New" w:cs="Courier New" w:eastAsia="Courier New" w:hAnsi="Courier New"/>
          <w:color w:val="000000"/>
          <w:sz w:val="20"/>
          <w:szCs w:val="20"/>
        </w:rPr>
        <w:t xml:space="preserve">  "mapped_to": "abc",</w:t>
      </w:r>
    </w:p>
    <w:p>
      <w:pPr>
        <w:spacing w:after="0" w:line="240"/>
        <w:ind w:left="360"/>
        <w:jc w:val="left"/>
      </w:pPr>
      <w:r>
        <w:rPr>
          <w:rFonts w:ascii="Courier New" w:cs="Courier New" w:eastAsia="Courier New" w:hAnsi="Courier New"/>
          <w:color w:val="000000"/>
          <w:sz w:val="20"/>
          <w:szCs w:val="20"/>
        </w:rPr>
        <w:t xml:space="preserve">  "distance": 1,</w:t>
      </w:r>
    </w:p>
    <w:p>
      <w:pPr>
        <w:spacing w:after="0" w:line="240"/>
        <w:ind w:left="360"/>
        <w:jc w:val="left"/>
      </w:pPr>
      <w:r>
        <w:rPr>
          <w:rFonts w:ascii="Courier New" w:cs="Courier New" w:eastAsia="Courier New" w:hAnsi="Courier New"/>
          <w:color w:val="000000"/>
          <w:sz w:val="20"/>
          <w:szCs w:val="20"/>
        </w:rPr>
        <w:t xml:space="preserve">  "transitions": { "aab-&gt;abc": 0.720000, "abc-&gt;bcc": 0.150000 },</w:t>
      </w:r>
    </w:p>
    <w:p>
      <w:pPr>
        <w:spacing w:after="0" w:line="240"/>
        <w:ind w:left="360"/>
        <w:jc w:val="left"/>
      </w:pPr>
      <w:r>
        <w:rPr>
          <w:rFonts w:ascii="Courier New" w:cs="Courier New" w:eastAsia="Courier New" w:hAnsi="Courier New"/>
          <w:color w:val="000000"/>
          <w:sz w:val="20"/>
          <w:szCs w:val="20"/>
        </w:rPr>
        <w:t xml:space="preserve">  "transition_probability": 0.150000,</w:t>
      </w:r>
    </w:p>
    <w:p>
      <w:pPr>
        <w:spacing w:after="0" w:line="240"/>
        <w:ind w:left="360"/>
        <w:jc w:val="left"/>
      </w:pPr>
      <w:r>
        <w:rPr>
          <w:rFonts w:ascii="Courier New" w:cs="Courier New" w:eastAsia="Courier New" w:hAnsi="Courier New"/>
          <w:color w:val="000000"/>
          <w:sz w:val="20"/>
          <w:szCs w:val="20"/>
        </w:rPr>
        <w:t xml:space="preserve">  "path_probability": 0.108000,</w:t>
      </w:r>
    </w:p>
    <w:p>
      <w:pPr>
        <w:spacing w:after="0" w:line="240"/>
        <w:ind w:left="360"/>
        <w:jc w:val="left"/>
      </w:pPr>
      <w:r>
        <w:rPr>
          <w:rFonts w:ascii="Courier New" w:cs="Courier New" w:eastAsia="Courier New" w:hAnsi="Courier New"/>
          <w:color w:val="000000"/>
          <w:sz w:val="20"/>
          <w:szCs w:val="20"/>
        </w:rPr>
        <w:t xml:space="preserve">  "state_anomaly_rate": 0.412000,</w:t>
      </w:r>
    </w:p>
    <w:p>
      <w:pPr>
        <w:spacing w:after="0" w:line="240"/>
        <w:ind w:left="360"/>
        <w:jc w:val="left"/>
      </w:pPr>
      <w:r>
        <w:rPr>
          <w:rFonts w:ascii="Courier New" w:cs="Courier New" w:eastAsia="Courier New" w:hAnsi="Courier New"/>
          <w:color w:val="000000"/>
          <w:sz w:val="20"/>
          <w:szCs w:val="20"/>
        </w:rPr>
        <w:t xml:space="preserve">  "anomaly_score": 0.587000,</w:t>
      </w:r>
    </w:p>
    <w:p>
      <w:pPr>
        <w:spacing w:after="0" w:line="240"/>
        <w:ind w:left="360"/>
        <w:jc w:val="left"/>
      </w:pPr>
      <w:r>
        <w:rPr>
          <w:rFonts w:ascii="Courier New" w:cs="Courier New" w:eastAsia="Courier New" w:hAnsi="Courier New"/>
          <w:color w:val="000000"/>
          <w:sz w:val="20"/>
          <w:szCs w:val="20"/>
        </w:rPr>
        <w:t xml:space="preserve">  "probability": 0.108000,</w:t>
      </w:r>
    </w:p>
    <w:p>
      <w:pPr>
        <w:spacing w:after="0" w:line="240"/>
        <w:ind w:left="360"/>
        <w:jc w:val="left"/>
      </w:pPr>
      <w:r>
        <w:rPr>
          <w:rFonts w:ascii="Courier New" w:cs="Courier New" w:eastAsia="Courier New" w:hAnsi="Courier New"/>
          <w:color w:val="000000"/>
          <w:sz w:val="20"/>
          <w:szCs w:val="20"/>
        </w:rPr>
        <w:t xml:space="preserve">  "decision": "anomaly",</w:t>
      </w:r>
    </w:p>
    <w:p>
      <w:pPr>
        <w:spacing w:after="0" w:line="240"/>
        <w:ind w:left="360"/>
        <w:jc w:val="left"/>
      </w:pPr>
      <w:r>
        <w:rPr>
          <w:rFonts w:ascii="Courier New" w:cs="Courier New" w:eastAsia="Courier New" w:hAnsi="Courier New"/>
          <w:color w:val="000000"/>
          <w:sz w:val="20"/>
          <w:szCs w:val="20"/>
        </w:rPr>
        <w:t xml:space="preserve">  "justification": "Dusuk olasilikli path (beklenmeyen gecis)",</w:t>
      </w:r>
    </w:p>
    <w:p>
      <w:pPr>
        <w:spacing w:after="0" w:line="240"/>
        <w:ind w:left="360"/>
        <w:jc w:val="left"/>
      </w:pPr>
      <w:r>
        <w:rPr>
          <w:rFonts w:ascii="Courier New" w:cs="Courier New" w:eastAsia="Courier New" w:hAnsi="Courier New"/>
          <w:color w:val="000000"/>
          <w:sz w:val="20"/>
          <w:szCs w:val="20"/>
        </w:rPr>
        <w:t xml:space="preserve">  "confidence": 0.108000</w:t>
      </w:r>
    </w:p>
    <w:p>
      <w:pPr>
        <w:spacing w:after="0" w:line="240"/>
        <w:ind w:left="360"/>
        <w:jc w:val="left"/>
      </w:pPr>
      <w:r>
        <w:rPr>
          <w:rFonts w:ascii="Courier New" w:cs="Courier New" w:eastAsia="Courier New" w:hAnsi="Courier New"/>
          <w:color w:val="000000"/>
          <w:sz w:val="20"/>
          <w:szCs w:val="20"/>
        </w:rPr>
        <w:t xml:space="preserve">}</w:t>
      </w:r>
    </w:p>
    <w:p>
      <w:pPr>
        <w:spacing w:after="80"/>
      </w:pPr>
      <w:r>
        <w:rPr>
          <w:rFonts w:ascii="Arial" w:cs="Arial" w:eastAsia="Arial" w:hAnsi="Arial"/>
        </w:rPr>
        <w:t xml:space="preserve"/>
      </w:r>
    </w:p>
    <w:p>
      <w:pPr>
        <w:spacing w:after="160" w:line="300"/>
        <w:jc w:val="both"/>
      </w:pPr>
      <w:r>
        <w:rPr>
          <w:rFonts w:ascii="Arial" w:cs="Arial" w:eastAsia="Arial" w:hAnsi="Arial"/>
          <w:color w:val="000000"/>
          <w:sz w:val="22"/>
          <w:szCs w:val="22"/>
        </w:rPr>
        <w:t xml:space="preserve">Güven skoru hesaplaması:</w:t>
      </w:r>
    </w:p>
    <w:p>
      <w:pPr>
        <w:spacing w:after="80" w:before="80"/>
        <w:ind w:left="360"/>
        <w:jc w:val="left"/>
      </w:pPr>
      <w:r>
        <w:rPr>
          <w:rFonts w:ascii="Arial" w:cs="Arial" w:eastAsia="Arial" w:hAnsi="Arial"/>
          <w:i/>
          <w:iCs/>
          <w:color w:val="000000"/>
          <w:sz w:val="22"/>
          <w:szCs w:val="22"/>
        </w:rPr>
        <w:t xml:space="preserve">confidence = path_probability  (örnek: 0.72 × 0.15 = 0.108)</w:t>
      </w:r>
    </w:p>
    <w:p>
      <w:pPr>
        <w:spacing w:after="160" w:line="300"/>
        <w:jc w:val="both"/>
      </w:pPr>
      <w:r>
        <w:rPr>
          <w:rFonts w:ascii="Arial" w:cs="Arial" w:eastAsia="Arial" w:hAnsi="Arial"/>
          <w:color w:val="000000"/>
          <w:sz w:val="22"/>
          <w:szCs w:val="22"/>
        </w:rPr>
        <w:t xml:space="preserve">Anomali skoru:</w:t>
      </w:r>
    </w:p>
    <w:p>
      <w:pPr>
        <w:spacing w:after="80" w:before="80"/>
        <w:ind w:left="360"/>
        <w:jc w:val="left"/>
      </w:pPr>
      <w:r>
        <w:rPr>
          <w:rFonts w:ascii="Arial" w:cs="Arial" w:eastAsia="Arial" w:hAnsi="Arial"/>
          <w:i/>
          <w:iCs/>
          <w:color w:val="000000"/>
          <w:sz w:val="22"/>
          <w:szCs w:val="22"/>
        </w:rPr>
        <w:t xml:space="preserve">anomaly_score = 0.6 × state_anomaly_rate + 0.4 × (1 − transition_probability)</w:t>
      </w:r>
    </w:p>
    <w:p>
      <w:pPr>
        <w:spacing w:after="160" w:line="300"/>
        <w:jc w:val="both"/>
      </w:pPr>
      <w:r>
        <w:rPr>
          <w:rFonts w:ascii="Arial" w:cs="Arial" w:eastAsia="Arial" w:hAnsi="Arial"/>
          <w:color w:val="000000"/>
          <w:sz w:val="22"/>
          <w:szCs w:val="22"/>
        </w:rPr>
        <w:t xml:space="preserve">Path probability:</w:t>
      </w:r>
    </w:p>
    <w:p>
      <w:pPr>
        <w:spacing w:after="80" w:before="80"/>
        <w:ind w:left="360"/>
        <w:jc w:val="left"/>
      </w:pPr>
      <w:r>
        <w:rPr>
          <w:rFonts w:ascii="Arial" w:cs="Arial" w:eastAsia="Arial" w:hAnsi="Arial"/>
          <w:i/>
          <w:iCs/>
          <w:color w:val="000000"/>
          <w:sz w:val="22"/>
          <w:szCs w:val="22"/>
        </w:rPr>
        <w:t xml:space="preserve">P(sequence) = ∏ P(Si → Si+1)</w:t>
      </w:r>
    </w:p>
    <w:p>
      <w:pPr>
        <w:pStyle w:val="Heading1"/>
        <w:spacing w:after="200" w:before="360"/>
      </w:pPr>
      <w:r>
        <w:rPr>
          <w:rFonts w:ascii="Arial" w:cs="Arial" w:eastAsia="Arial" w:hAnsi="Arial"/>
          <w:b/>
          <w:bCs/>
          <w:color w:val="000000"/>
          <w:sz w:val="28"/>
          <w:szCs w:val="28"/>
        </w:rPr>
        <w:t xml:space="preserve">7. Sonuç ve Değerlendirme</w:t>
      </w:r>
    </w:p>
    <w:p>
      <w:pPr>
        <w:spacing w:after="160" w:line="300"/>
        <w:jc w:val="both"/>
      </w:pPr>
      <w:r>
        <w:rPr>
          <w:rFonts w:ascii="Arial" w:cs="Arial" w:eastAsia="Arial" w:hAnsi="Arial"/>
          <w:color w:val="000000"/>
          <w:sz w:val="22"/>
          <w:szCs w:val="22"/>
        </w:rPr>
        <w:t xml:space="preserve">Bu çalışmada derin öğrenme modelleri ile olasılıksal otomata, iki veri seti ve üç senaryo (orijinal, gürültülü, unseen) altında karşılaştırılmıştır. Derin öğrenme modelleri her iki veri setinde de daha yüksek F1 skoru elde etmiş, özellikle SKAB üzerinde belirgin üstünlük göstermiştir. Buna karşılık otomata modeli, her kararını olasılıksal geçişlerle gerekçelendiren tam açıklanabilir yapısıyla öne çıkmaktadır.</w:t>
      </w:r>
    </w:p>
    <w:p>
      <w:pPr>
        <w:spacing w:after="160" w:line="300"/>
        <w:jc w:val="both"/>
      </w:pPr>
      <w:r>
        <w:rPr>
          <w:rFonts w:ascii="Arial" w:cs="Arial" w:eastAsia="Arial" w:hAnsi="Arial"/>
          <w:color w:val="000000"/>
          <w:sz w:val="22"/>
          <w:szCs w:val="22"/>
        </w:rPr>
        <w:t xml:space="preserve">İki yaklaşım da Gaussian gürültüye karşı dayanıklıdır. Otomata, görülmemiş örüntüleri Levenshtein eşlemesiyle ele aldığından unseen senaryoda performans kaybı yaşamaz. Sonuç olarak performans ile açıklanabilirlik arasında net bir ödünleşim gözlenmektedir: yüksek doğruluk için derin öğrenme, şeffaf ve gerekçelendirilebilir kararlar için otomata uygun bir tercihtir.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40" w:before="2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Black-Box to Explainability</dc:title>
  <dc:creator>Kerem Unal &amp; Efekan Tosmak</dc:creator>
  <cp:lastModifiedBy>Un-named</cp:lastModifiedBy>
  <cp:revision>1</cp:revision>
  <dcterms:created xsi:type="dcterms:W3CDTF">2026-06-07T17:20:15.554Z</dcterms:created>
  <dcterms:modified xsi:type="dcterms:W3CDTF">2026-06-07T17:20:15.566Z</dcterms:modified>
</cp:coreProperties>
</file>

<file path=docProps/custom.xml><?xml version="1.0" encoding="utf-8"?>
<Properties xmlns="http://schemas.openxmlformats.org/officeDocument/2006/custom-properties" xmlns:vt="http://schemas.openxmlformats.org/officeDocument/2006/docPropsVTypes"/>
</file>