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 Atlas – Bericht an den Aufsichtsrat</w:t>
      </w:r>
    </w:p>
    <w:p>
      <w:r>
        <w:t>Stand: 24. September 2026</w:t>
      </w:r>
    </w:p>
    <w:p>
      <w:pPr>
        <w:pStyle w:val="Heading1"/>
      </w:pPr>
      <w:r>
        <w:t>1. Überblick</w:t>
      </w:r>
    </w:p>
    <w:p>
      <w:r>
        <w:t>Der Umsatz stieg 2025 auf 4,2 Mrd. € und lag damit 8,8 % über dem Vorjahr. Das EBITDA betrug 598 Mio. € (Marge 14,2 %).</w:t>
      </w:r>
    </w:p>
    <w:p>
      <w:r>
        <w:t>Die Nettoverschuldung sank auf 1.050 Mio. €, das 1,8-fache des EBITDA.</w:t>
      </w:r>
      <w:r>
        <w:rPr>
          <w:vertAlign w:val="superscript"/>
        </w:rPr>
        <w:footnoteReference w:id="1"/>
      </w:r>
    </w:p>
    <w:p>
      <w:r>
        <w:t>Ende 2025 beschäftigte Atlas 1.310 Mitarbeiter (Vollzeitäquivalente). Die Verlängerungsquote lag bei 61 %.</w:t>
      </w:r>
    </w:p>
    <w:p>
      <w:pPr>
        <w:pStyle w:val="Heading1"/>
      </w:pPr>
      <w:r>
        <w:t>2. Markt</w:t>
      </w:r>
    </w:p>
    <w:p>
      <w:r>
        <w:t>Das Marktvolumen in der DACH-Region betrug 2025 rund 13,4 Mrd. € (Wachstum 2,8 %). Der Marktanteil in Deutschland beträgt 15,3 %.</w:t>
      </w:r>
      <w:r>
        <w:rPr>
          <w:vertAlign w:val="superscript"/>
        </w:rPr>
        <w:footnoteReference w:id="2"/>
      </w:r>
    </w:p>
    <w:p>
      <w:r>
        <w:t>Tabelle 1: Kennzahlen (Mio. 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Umsatz</w:t>
            </w:r>
          </w:p>
        </w:tc>
        <w:tc>
          <w:tcPr>
            <w:tcW w:type="dxa" w:w="2880"/>
          </w:tcPr>
          <w:p>
            <w:r>
              <w:t>3.874,2</w:t>
            </w:r>
          </w:p>
        </w:tc>
        <w:tc>
          <w:tcPr>
            <w:tcW w:type="dxa" w:w="2880"/>
          </w:tcPr>
          <w:p>
            <w:r>
              <w:t>4.213,5</w:t>
            </w:r>
          </w:p>
        </w:tc>
      </w:tr>
      <w:tr>
        <w:tc>
          <w:tcPr>
            <w:tcW w:type="dxa" w:w="2880"/>
          </w:tcPr>
          <w:p>
            <w:r>
              <w:t>EBITDA</w:t>
            </w:r>
          </w:p>
        </w:tc>
        <w:tc>
          <w:tcPr>
            <w:tcW w:type="dxa" w:w="2880"/>
          </w:tcPr>
          <w:p>
            <w:r>
              <w:t>541,0</w:t>
            </w:r>
          </w:p>
        </w:tc>
        <w:tc>
          <w:tcPr>
            <w:tcW w:type="dxa" w:w="2880"/>
          </w:tcPr>
          <w:p>
            <w:r>
              <w:t>598,3</w:t>
            </w:r>
          </w:p>
        </w:tc>
      </w:tr>
      <w:tr>
        <w:tc>
          <w:tcPr>
            <w:tcW w:type="dxa" w:w="2880"/>
          </w:tcPr>
          <w:p>
            <w:r>
              <w:t>EBITDA-Marge (%)</w:t>
            </w:r>
          </w:p>
        </w:tc>
        <w:tc>
          <w:tcPr>
            <w:tcW w:type="dxa" w:w="2880"/>
          </w:tcPr>
          <w:p>
            <w:r>
              <w:t>14,0</w:t>
            </w:r>
          </w:p>
        </w:tc>
        <w:tc>
          <w:tcPr>
            <w:tcW w:type="dxa" w:w="2880"/>
          </w:tcPr>
          <w:p>
            <w:r>
              <w:t>14,2</w:t>
            </w:r>
          </w:p>
        </w:tc>
      </w:tr>
      <w:tr>
        <w:tc>
          <w:tcPr>
            <w:tcW w:type="dxa" w:w="2880"/>
          </w:tcPr>
          <w:p>
            <w:r>
              <w:t>Nettoverschuldung</w:t>
            </w:r>
          </w:p>
        </w:tc>
        <w:tc>
          <w:tcPr>
            <w:tcW w:type="dxa" w:w="2880"/>
          </w:tcPr>
          <w:p>
            <w:r>
              <w:t>1.120,0</w:t>
            </w:r>
          </w:p>
        </w:tc>
        <w:tc>
          <w:tcPr>
            <w:tcW w:type="dxa" w:w="2880"/>
          </w:tcPr>
          <w:p>
            <w:r>
              <w:t>1.050,0</w:t>
            </w:r>
          </w:p>
        </w:tc>
      </w:tr>
      <w:tr>
        <w:tc>
          <w:tcPr>
            <w:tcW w:type="dxa" w:w="2880"/>
          </w:tcPr>
          <w:p>
            <w:r>
              <w:t>Mitarbeiter (FTE)</w:t>
            </w:r>
          </w:p>
        </w:tc>
        <w:tc>
          <w:tcPr>
            <w:tcW w:type="dxa" w:w="2880"/>
          </w:tcPr>
          <w:p>
            <w:r>
              <w:t>1.240</w:t>
            </w:r>
          </w:p>
        </w:tc>
        <w:tc>
          <w:tcPr>
            <w:tcW w:type="dxa" w:w="2880"/>
          </w:tcPr>
          <w:p>
            <w:r>
              <w:t>1.310</w:t>
            </w:r>
          </w:p>
        </w:tc>
      </w:tr>
    </w:tbl>
    <w:p>
      <w:pPr>
        <w:pStyle w:val="Heading1"/>
      </w:pPr>
      <w:r>
        <w:t>Quellen</w:t>
      </w:r>
    </w:p>
    <w:p>
      <w:r>
        <w:t>Statistisches Bundesamt: https://www.destatis.de/EN/Home/_node.html</w:t>
      </w:r>
    </w:p>
    <w:p>
      <w:r>
        <w:t xml:space="preserve">Eurostat, Datenbank: </w:t>
      </w:r>
      <w:hyperlink r:id="rId9">
        <w:r>
          <w:t>Eurostat-Startseite</w:t>
        </w:r>
      </w:hyperlink>
    </w:p>
    <w:p>
      <w:r>
        <w:t>Müller, K. (2025): Marktstudie DACH 2025, doi:10.5555/atlas.2025.017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Projekt Atlas · Seite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Nettoverschuldung zum 31.12.2025; Quelle: Konzernabschluss 2025, S. 45.</w:t>
      </w:r>
    </w:p>
  </w:footnote>
  <w:footnote w:id="2">
    <w:p>
      <w:pPr>
        <w:pStyle w:val="FootnoteText"/>
      </w:pPr>
      <w:r>
        <w:rPr>
          <w:vertAlign w:val="superscript"/>
        </w:rPr>
        <w:footnoteRef/>
      </w:r>
      <w:r>
        <w:t xml:space="preserve"> Marktdaten: Atlas-Schätzung auf Basis von Eurostat; Anteil gemessen am Umsatz.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.europa.eu/eurostat/web/main/home" TargetMode="External"/><Relationship Id="rId10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