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VN DIGITAL TRUST</w:t>
      </w:r>
    </w:p>
    <w:p>
      <w:pPr>
        <w:pStyle w:val="Subtitle"/>
        <w:jc w:val="center"/>
      </w:pPr>
      <w:r>
        <w:t>Thiết kế hệ thống quản lý rủi ro an toàn thông tin</w:t>
        <w:br/>
        <w:t>dựa trên bằng chứng cho doanh nghiệp nhỏ và vừa</w:t>
      </w:r>
    </w:p>
    <w:p>
      <w:pPr>
        <w:jc w:val="center"/>
      </w:pPr>
      <w:r>
        <w:rPr>
          <w:sz w:val="21"/>
        </w:rPr>
        <w:t>Báo cáo nghiên cứu và thiết kế hệ thống</w:t>
        <w:br/>
        <w:t>Phiên bản v0.2  |  Ngày 23 tháng 10 năm 2026</w:t>
      </w:r>
    </w:p>
    <w:p>
      <w:pPr>
        <w:keepNext/>
        <w:jc w:val="both"/>
      </w:pPr>
      <w:r>
        <w:rPr>
          <w:b/>
        </w:rPr>
        <w:t>Tóm tắt</w:t>
      </w:r>
    </w:p>
    <w:p>
      <w:pPr>
        <w:jc w:val="both"/>
      </w:pPr>
      <w:r>
        <w:rPr>
          <w:sz w:val="22"/>
        </w:rPr>
        <w:t>Báo cáo trình bày thiết kế VN Digital Trust, hệ thống hỗ trợ quản lý rủi ro an toàn thông tin dựa trên bằng chứng cho doanh nghiệp nhỏ và vừa, đồng thời đề xuất phạm vi triển khai để xin ý kiến giảng viên. Công việc hiện có gồm phương pháp RM-01, tiêu chí kiểm soát, mô hình nghiệp vụ, kiến trúc, dữ liệu và đặc tả API trên bối cảnh doanh nghiệp giả lập. Các kiểm tra số học và kiểm tra tĩnh là hoạt động tự kiểm tra của dự án, chưa có người xem xét độc lập ngoài tác giả; kết quả chỉ phản ánh các quy tắc và dữ liệu đã đưa vào kiểm tra. Chưa có prototype, bằng chứng kiểm thử CRM hoặc kết quả đồng thuận giữa hai người chấm G. Đề tài đặt ra ba câu hỏi về khả năng truy vết, cách xử lý dữ liệu UNKNOWN và độ nhất quán của rubric G. Công việc tiếp theo được đề xuất là triển khai một luồng SC-01 hoàn chỉnh, đối chiếu với quy trình bảng tính và thực hiện kiểm chứng có người tham gia độc lập. Thời hạn và người chấm thứ hai chưa được chốt.</w:t>
      </w:r>
    </w:p>
    <w:p>
      <w:pPr>
        <w:jc w:val="both"/>
      </w:pPr>
      <w:r>
        <w:rPr>
          <w:i/>
          <w:sz w:val="21"/>
        </w:rPr>
        <w:t>Từ khóa: quản lý rủi ro; an toàn thông tin; bằng chứng; doanh nghiệp nhỏ và vừa; thiết kế hệ thống.</w:t>
      </w:r>
    </w:p>
    <w:p>
      <w:pPr>
        <w:pStyle w:val="Heading1"/>
        <w:jc w:val="both"/>
      </w:pPr>
      <w:r>
        <w:t>1 Đặt vấn đề</w:t>
      </w:r>
    </w:p>
    <w:p>
      <w:pPr>
        <w:jc w:val="both"/>
      </w:pPr>
      <w:r>
        <w:t>Một kết quả đánh giá an toàn thông tin cần cho biết đối tượng nào đang được xem xét, kết luận dựa trên thông tin gì và ai chịu trách nhiệm xử lý. Nếu chỉ lưu điểm tổng hợp hoặc danh sách câu trả lời, việc giải thích một kết luận và so sánh sau khắc phục sẽ gặp khó khăn. VN Digital Trust được thiết kế để lưu các mối liên hệ này trong cùng một quy trình đánh giá.</w:t>
      </w:r>
    </w:p>
    <w:p>
      <w:pPr>
        <w:jc w:val="both"/>
      </w:pPr>
      <w:r>
        <w:t>NIST SP 800-30 Rev. 1 đặt đánh giá rủi ro trong quy trình quản lý rủi ro, với mục đích cung cấp thông tin cho quyết định ứng phó của tổ chức [1]. Theo định hướng đó, hệ thống được đề xuất không chỉ lưu điểm đánh giá mà còn liên kết kết quả với bối cảnh, bằng chứng, quyết định và lịch sử thay đổi. Việc lựa chọn ưu tiên xử lý vẫn thuộc người có trách nhiệm trong phạm vi được giao.</w:t>
      </w:r>
    </w:p>
    <w:p>
      <w:pPr>
        <w:jc w:val="both"/>
      </w:pPr>
      <w:r>
        <w:t>Mục tiêu hiện tại là xây dựng một thiết kế để triển khai quy trình quản lý rủi ro kỹ thuật tại doanh nghiệp nhỏ và vừa. Báo cáo có hai mục đích: trình bày thiết kế cùng kết quả tự kiểm tra tính nhất quán đã có; và đề xuất công việc tiếp theo, những điểm còn vướng để xin hướng dẫn. Ba câu hỏi nghiên cứu được đặt ra như sau.</w:t>
      </w:r>
    </w:p>
    <w:p>
      <w:pPr>
        <w:jc w:val="both"/>
      </w:pPr>
      <w:r>
        <w:t>RQ1. Việc lưu liên kết giữa kịch bản, control, bằng chứng, đánh giá và quyết định xử lý có giúp phân biệt thiếu bằng chứng với control không đạt, đồng thời đối chiếu trước và sau khắc phục của cùng kịch bản hay không?</w:t>
      </w:r>
    </w:p>
    <w:p>
      <w:pPr>
        <w:jc w:val="both"/>
      </w:pPr>
      <w:r>
        <w:t>RQ2. Xử lý đầu vào UNKNOWN bằng khoảng giá trị có cho kết quả tái lập và giải thích được rõ hơn so với gán điểm mặc định hay không?</w:t>
      </w:r>
    </w:p>
    <w:p>
      <w:pPr>
        <w:jc w:val="both"/>
      </w:pPr>
      <w:r>
        <w:t>RQ3. Rubric chấm G có cho kết quả đồng thuận giữa hai người chấm độc lập trên cùng bộ ca hay không?</w:t>
      </w:r>
    </w:p>
    <w:p>
      <w:pPr>
        <w:jc w:val="both"/>
      </w:pPr>
      <w:r>
        <w:t>Các câu hỏi này chưa được trả lời bằng thực nghiệm. Thiết kế và bộ kiểm tra hiện có mới chuẩn bị cơ sở để triển khai, thu bằng chứng và đánh giá.</w:t>
      </w:r>
    </w:p>
    <w:p>
      <w:pPr>
        <w:jc w:val="both"/>
      </w:pPr>
      <w:r>
        <w:t>Phạm vi phiên bản v0.1 gồm quản lý tài sản, kịch bản rủi ro, biện pháp kiểm soát, bằng chứng, khắc phục và báo cáo. Mỗi bản triển khai phục vụ một doanh nghiệp, cho phép nhiều chi nhánh và nhiều vai trò. Đánh giá nghĩa vụ pháp lý, giám sát an ninh thời gian thực, kiểm thử xâm nhập tự động và AI tự quyết định kết quả nằm ngoài phạm vi hiện tại [2].</w:t>
      </w:r>
    </w:p>
    <w:p>
      <w:pPr>
        <w:jc w:val="both"/>
      </w:pPr>
      <w:r>
        <w:t>Đề tài chọn hướng kỹ thuật trước để tập trung vào chuỗi bằng chứng có thể kiểm thử trong lab, phù hợp hơn với nguồn lực của một đồ án cá nhân. Phần đối chiếu TCVN và pháp luật Việt Nam chưa được thực hiện trong phiên bản này; báo cáo vì vậy không đưa ra kết luận tuân thủ tiêu chuẩn trong nước hoặc nghĩa vụ pháp lý. Hướng thu hẹp này cần được giảng viên xác nhận là phù hợp với tên đề tài và yêu cầu học phần [2].</w:t>
      </w:r>
    </w:p>
    <w:p>
      <w:pPr>
        <w:pStyle w:val="Heading1"/>
        <w:jc w:val="both"/>
      </w:pPr>
      <w:r>
        <w:t>2 Cơ sở tham chiếu và phạm vi nghiên cứu</w:t>
      </w:r>
    </w:p>
    <w:p>
      <w:pPr>
        <w:pStyle w:val="Heading2"/>
        <w:jc w:val="both"/>
      </w:pPr>
      <w:r>
        <w:t>2.1 Khái niệm và nguồn tham chiếu</w:t>
      </w:r>
    </w:p>
    <w:p>
      <w:pPr>
        <w:jc w:val="both"/>
      </w:pPr>
      <w:r>
        <w:t>Trong báo cáo, kịch bản rủi ro là mô tả một sự kiện gắn với tài sản, tiền điều kiện, phạm vi và hậu quả. Biện pháp kiểm soát (control) là yêu cầu hoặc cơ chế bảo vệ được đánh giá. Bằng chứng (evidence) là thông tin dùng để xem xét việc đáp ứng tiêu chí, có nguồn, thời điểm và phạm vi sử dụng. Sự hiện diện của một tệp cấu hình hoặc một kết quả công cụ chưa đủ để thay thế việc xác minh nội dung và ý nghĩa của bằng chứng.</w:t>
      </w:r>
    </w:p>
    <w:p>
      <w:pPr>
        <w:jc w:val="both"/>
      </w:pPr>
      <w:r>
        <w:t>MITRE ATT&amp;CK T1078 mô tả việc lạm dụng thông tin xác thực của tài khoản hợp lệ để có quyền truy cập [3]. Tham chiếu này được dùng để diễn đạt hành vi trong kịch bản đăng nhập trái phép. Số kỹ thuật hoặc chiến thuật ATT&amp;CK không được đưa vào công thức như biến cộng điểm rủi ro.</w:t>
      </w:r>
    </w:p>
    <w:p>
      <w:pPr>
        <w:jc w:val="both"/>
      </w:pPr>
      <w:r>
        <w:t>WebAuthn Level 3 là W3C Recommendation ngày 25/08/2026 [4]. Báo cáo cập nhật tham chiếu kỹ thuật sang phiên bản này cho cơ chế thông tin xác thực bằng khóa công khai gắn với bên cung cấp dịch vụ. Trước khi triển khai CRM, cần đối chiếu lại các tiêu chí xác thực và bộ ca kiểm thử với cấu hình thực tế; việc cập nhật tài liệu tham khảo chưa phải kết quả kiểm chứng tương thích Level 3.</w:t>
      </w:r>
    </w:p>
    <w:p>
      <w:pPr>
        <w:jc w:val="both"/>
      </w:pPr>
      <w:r>
        <w:t>ISO/IEC 27005:2022 cung cấp hướng dẫn quản lý rủi ro an toàn thông tin, hỗ trợ quá trình nhận diện, đánh giá và xử lý rủi ro [5]. Đề tài tham khảo phần giới thiệu công khai của ISO để định hướng quy trình; chưa rà soát toàn văn tiêu chuẩn và không dùng nguồn này để xác nhận công thức RM-01.</w:t>
      </w:r>
    </w:p>
    <w:p>
      <w:pPr>
        <w:jc w:val="both"/>
      </w:pPr>
      <w:r>
        <w:t>Các nguồn trên hỗ trợ khái niệm và tiêu chí kỹ thuật. Công thức RM-01, trọng số, ngưỡng phân mức và cách tổ chức phần mềm là lựa chọn của đề tài. Báo cáo không xem các lựa chọn này là công thức do NIST hoặc MITRE quy định, cũng không đưa ra kết luận đáp ứng toàn bộ một tiêu chuẩn.</w:t>
      </w:r>
    </w:p>
    <w:p>
      <w:pPr>
        <w:pStyle w:val="Heading2"/>
        <w:jc w:val="both"/>
      </w:pPr>
      <w:r>
        <w:t>2.2 Bối cảnh và các kịch bản khảo sát</w:t>
      </w:r>
    </w:p>
    <w:p>
      <w:pPr>
        <w:jc w:val="both"/>
      </w:pPr>
      <w:r>
        <w:t>Môi trường thiết kế sử dụng ABC Trading, một doanh nghiệp giả lập có hai chi nhánh tại Thành phố Hồ Chí Minh và Đà Nẵng. CRM quản lý hồ sơ khách hàng theo nhân viên và chi nhánh. Hồ sơ mẫu gồm 12 tài khoản, 8 vai trò, 7 tài sản logic và 6 hồ sơ khách hàng. Các bản ghi này là dữ liệu giả lập phục vụ mô hình hóa, chưa phải tài khoản đã được tạo trên dịch vụ vận hành [2].</w:t>
      </w:r>
    </w:p>
    <w:p>
      <w:pPr>
        <w:pStyle w:val="Caption"/>
        <w:keepNext/>
        <w:jc w:val="both"/>
      </w:pPr>
      <w:r>
        <w:t>Bảng 1 Các kịch bản dùng để đối chiếu thiết kế</w:t>
      </w:r>
    </w:p>
    <w:tbl>
      <w:tblPr>
        <w:tblW w:type="auto" w:w="0"/>
        <w:jc w:val="center"/>
        <w:tblLayout w:type="fixed"/>
        <w:tblLook w:firstColumn="1" w:firstRow="1" w:lastColumn="0" w:lastRow="0" w:noHBand="0" w:noVBand="1" w:val="04A0"/>
      </w:tblPr>
      <w:tblGrid>
        <w:gridCol w:w="3081"/>
        <w:gridCol w:w="3081"/>
        <w:gridCol w:w="3081"/>
      </w:tblGrid>
      <w:tr>
        <w:trPr>
          <w:cantSplit/>
          <w:tblHeader/>
        </w:trPr>
        <w:tc>
          <w:tcPr>
            <w:tcW w:type="dxa" w:w="1607"/>
            <w:vAlign w:val="center"/>
            <w:tcBorders>
              <w:top w:val="single" w:sz="4" w:color="D9D9D9"/>
              <w:left w:val="single" w:sz="4" w:color="D9D9D9"/>
              <w:bottom w:val="single" w:sz="4" w:color="D9D9D9"/>
              <w:right w:val="single" w:sz="4" w:color="D9D9D9"/>
            </w:tcBorders>
            <w:shd w:fill="EBEEF1"/>
          </w:tcPr>
          <w:p>
            <w:pPr>
              <w:keepNext/>
              <w:spacing w:after="80" w:before="80" w:line="252" w:lineRule="auto"/>
            </w:pPr>
            <w:r>
              <w:rPr>
                <w:b/>
                <w:sz w:val="21"/>
              </w:rPr>
              <w:t>Kịch bản</w:t>
            </w:r>
          </w:p>
        </w:tc>
        <w:tc>
          <w:tcPr>
            <w:tcW w:type="dxa" w:w="3455"/>
            <w:vAlign w:val="center"/>
            <w:tcBorders>
              <w:top w:val="single" w:sz="4" w:color="D9D9D9"/>
              <w:left w:val="single" w:sz="4" w:color="D9D9D9"/>
              <w:bottom w:val="single" w:sz="4" w:color="D9D9D9"/>
              <w:right w:val="single" w:sz="4" w:color="D9D9D9"/>
            </w:tcBorders>
            <w:shd w:fill="EBEEF1"/>
          </w:tcPr>
          <w:p>
            <w:pPr>
              <w:keepNext/>
              <w:spacing w:after="80" w:before="80" w:line="252" w:lineRule="auto"/>
            </w:pPr>
            <w:r>
              <w:rPr>
                <w:b/>
                <w:sz w:val="21"/>
              </w:rPr>
              <w:t>Tiền điều kiện</w:t>
            </w:r>
          </w:p>
        </w:tc>
        <w:tc>
          <w:tcPr>
            <w:tcW w:type="dxa" w:w="4179"/>
            <w:vAlign w:val="center"/>
            <w:tcBorders>
              <w:top w:val="single" w:sz="4" w:color="D9D9D9"/>
              <w:left w:val="single" w:sz="4" w:color="D9D9D9"/>
              <w:bottom w:val="single" w:sz="4" w:color="D9D9D9"/>
              <w:right w:val="single" w:sz="4" w:color="D9D9D9"/>
            </w:tcBorders>
            <w:shd w:fill="EBEEF1"/>
          </w:tcPr>
          <w:p>
            <w:pPr>
              <w:keepNext/>
              <w:spacing w:after="80" w:before="80" w:line="252" w:lineRule="auto"/>
            </w:pPr>
            <w:r>
              <w:rPr>
                <w:b/>
                <w:sz w:val="21"/>
              </w:rPr>
              <w:t>Sự kiện và phạm vi xem xét</w:t>
            </w:r>
          </w:p>
        </w:tc>
      </w:tr>
      <w:tr>
        <w:trPr>
          <w:cantSplit/>
        </w:trPr>
        <w:tc>
          <w:tcPr>
            <w:tcW w:type="dxa" w:w="1607"/>
            <w:vAlign w:val="center"/>
            <w:tcBorders>
              <w:top w:val="single" w:sz="4" w:color="D9D9D9"/>
              <w:left w:val="single" w:sz="4" w:color="D9D9D9"/>
              <w:bottom w:val="single" w:sz="4" w:color="D9D9D9"/>
              <w:right w:val="single" w:sz="4" w:color="D9D9D9"/>
            </w:tcBorders>
          </w:tcPr>
          <w:p>
            <w:pPr>
              <w:spacing w:after="80" w:before="80" w:line="252" w:lineRule="auto"/>
            </w:pPr>
            <w:r>
              <w:rPr>
                <w:b w:val="0"/>
                <w:sz w:val="21"/>
              </w:rPr>
              <w:t>SC-01</w:t>
              <w:br/>
              <w:t>Truy cập trái phép</w:t>
            </w:r>
          </w:p>
        </w:tc>
        <w:tc>
          <w:tcPr>
            <w:tcW w:type="dxa" w:w="3455"/>
            <w:vAlign w:val="center"/>
            <w:tcBorders>
              <w:top w:val="single" w:sz="4" w:color="D9D9D9"/>
              <w:left w:val="single" w:sz="4" w:color="D9D9D9"/>
              <w:bottom w:val="single" w:sz="4" w:color="D9D9D9"/>
              <w:right w:val="single" w:sz="4" w:color="D9D9D9"/>
            </w:tcBorders>
          </w:tcPr>
          <w:p>
            <w:pPr>
              <w:spacing w:after="80" w:before="80" w:line="252" w:lineRule="auto"/>
            </w:pPr>
            <w:r>
              <w:rPr>
                <w:b w:val="0"/>
                <w:sz w:val="21"/>
              </w:rPr>
              <w:t>Đã tới trang đăng nhập qua VPN; biết mật khẩu; chưa có WebAuthn hoặc phiên hợp lệ.</w:t>
            </w:r>
          </w:p>
        </w:tc>
        <w:tc>
          <w:tcPr>
            <w:tcW w:type="dxa" w:w="4179"/>
            <w:vAlign w:val="center"/>
            <w:tcBorders>
              <w:top w:val="single" w:sz="4" w:color="D9D9D9"/>
              <w:left w:val="single" w:sz="4" w:color="D9D9D9"/>
              <w:bottom w:val="single" w:sz="4" w:color="D9D9D9"/>
              <w:right w:val="single" w:sz="4" w:color="D9D9D9"/>
            </w:tcBorders>
          </w:tcPr>
          <w:p>
            <w:pPr>
              <w:spacing w:after="80" w:before="80" w:line="252" w:lineRule="auto"/>
            </w:pPr>
            <w:r>
              <w:rPr>
                <w:b w:val="0"/>
                <w:sz w:val="21"/>
              </w:rPr>
              <w:t>Đăng nhập CRM và truy cập dữ liệu bằng thông tin xác thực bị lộ. Xem xét bảo vệ tại lớp đăng nhập CRM.</w:t>
            </w:r>
          </w:p>
        </w:tc>
      </w:tr>
      <w:tr>
        <w:trPr>
          <w:cantSplit/>
        </w:trPr>
        <w:tc>
          <w:tcPr>
            <w:tcW w:type="dxa" w:w="1607"/>
            <w:vAlign w:val="center"/>
            <w:tcBorders>
              <w:top w:val="single" w:sz="4" w:color="D9D9D9"/>
              <w:left w:val="single" w:sz="4" w:color="D9D9D9"/>
              <w:bottom w:val="single" w:sz="4" w:color="D9D9D9"/>
              <w:right w:val="single" w:sz="4" w:color="D9D9D9"/>
            </w:tcBorders>
          </w:tcPr>
          <w:p>
            <w:pPr>
              <w:spacing w:after="80" w:before="80" w:line="252" w:lineRule="auto"/>
            </w:pPr>
            <w:r>
              <w:rPr>
                <w:b w:val="0"/>
                <w:sz w:val="21"/>
              </w:rPr>
              <w:t>SC-02</w:t>
              <w:br/>
              <w:t>Chuyển dữ liệu trái phép</w:t>
            </w:r>
          </w:p>
        </w:tc>
        <w:tc>
          <w:tcPr>
            <w:tcW w:type="dxa" w:w="3455"/>
            <w:vAlign w:val="center"/>
            <w:tcBorders>
              <w:top w:val="single" w:sz="4" w:color="D9D9D9"/>
              <w:left w:val="single" w:sz="4" w:color="D9D9D9"/>
              <w:bottom w:val="single" w:sz="4" w:color="D9D9D9"/>
              <w:right w:val="single" w:sz="4" w:color="D9D9D9"/>
            </w:tcBorders>
          </w:tcPr>
          <w:p>
            <w:pPr>
              <w:spacing w:after="80" w:before="80" w:line="252" w:lineRule="auto"/>
            </w:pPr>
            <w:r>
              <w:rPr>
                <w:b w:val="0"/>
                <w:sz w:val="21"/>
              </w:rPr>
              <w:t>Đã có phiên đọc hợp lệ và quyền đọc dữ liệu trong phạm vi được giao.</w:t>
            </w:r>
          </w:p>
        </w:tc>
        <w:tc>
          <w:tcPr>
            <w:tcW w:type="dxa" w:w="4179"/>
            <w:vAlign w:val="center"/>
            <w:tcBorders>
              <w:top w:val="single" w:sz="4" w:color="D9D9D9"/>
              <w:left w:val="single" w:sz="4" w:color="D9D9D9"/>
              <w:bottom w:val="single" w:sz="4" w:color="D9D9D9"/>
              <w:right w:val="single" w:sz="4" w:color="D9D9D9"/>
            </w:tcBorders>
          </w:tcPr>
          <w:p>
            <w:pPr>
              <w:spacing w:after="80" w:before="80" w:line="252" w:lineRule="auto"/>
            </w:pPr>
            <w:r>
              <w:rPr>
                <w:b w:val="0"/>
                <w:sz w:val="21"/>
              </w:rPr>
              <w:t>Chuyển dữ liệu đến nơi nhận ngoài phạm vi được phép. Nơi nhận vẫn thuộc lab được kiểm soát.</w:t>
            </w:r>
          </w:p>
        </w:tc>
      </w:tr>
    </w:tbl>
    <w:p>
      <w:pPr>
        <w:spacing w:after="40"/>
      </w:pPr>
    </w:p>
    <w:p>
      <w:pPr>
        <w:jc w:val="both"/>
      </w:pPr>
      <w:r>
        <w:t>SC-01 dùng mật khẩu kết hợp WebAuthn và yêu cầu xác minh người dùng trên thiết bị xác thực. VPN là tiền điều kiện mạng, không được tính thay cho yếu tố xác thực của CRM. Trong SC-02, phiên đọc đã hợp lệ nên hiệu lực MFA đối với đăng nhập mới không tự chứng minh dữ liệu được bảo vệ khi xuất hoặc chuyển ra ngoài. Việc giữ hai tiền điều kiện riêng giúp tránh sử dụng cùng một bằng chứng cho những kết luận khác nhau.</w:t>
      </w:r>
    </w:p>
    <w:p>
      <w:pPr>
        <w:pStyle w:val="Heading1"/>
        <w:jc w:val="both"/>
      </w:pPr>
      <w:r>
        <w:t>3 Phương pháp nghiên cứu và đánh giá</w:t>
      </w:r>
    </w:p>
    <w:p>
      <w:pPr>
        <w:pStyle w:val="Heading2"/>
        <w:jc w:val="both"/>
      </w:pPr>
      <w:r>
        <w:t>3.1 Cách tiếp cận thiết kế</w:t>
      </w:r>
    </w:p>
    <w:p>
      <w:pPr>
        <w:jc w:val="both"/>
      </w:pPr>
      <w:r>
        <w:t>Công việc được thực hiện theo hướng xây dựng và rà soát một mô hình hệ thống. Từ phạm vi doanh nghiệp và hai kịch bản, các yêu cầu được chuyển thành tiêu chí kiểm soát, quy tắc đánh giá, trường hợp sử dụng và cấu trúc dữ liệu. Tính nhất quán được xem xét bằng truy vết giữa yêu cầu với luồng nghiệp vụ, kiểm tra số học trên dữ liệu tổng hợp, kiểm tra tĩnh đặc tả dữ liệu và API, cùng kiểm tra hình ảnh của sơ đồ.</w:t>
      </w:r>
    </w:p>
    <w:p>
      <w:pPr>
        <w:jc w:val="both"/>
      </w:pPr>
      <w:r>
        <w:t>Đối tượng được kiểm tra ở giai đoạn này là phương pháp và tài liệu thiết kế. Dữ liệu cố định phục vụ tái lập phép tính không thay thế bằng chứng thu từ CRM; kiểm tra cú pháp và tham chiếu không thay thế chạy dịch vụ hoặc giao dịch trên cơ sở dữ liệu. Phân biệt này được giữ trong cách trình bày kết quả và giới hạn của báo cáo.</w:t>
      </w:r>
    </w:p>
    <w:p>
      <w:pPr>
        <w:jc w:val="both"/>
      </w:pPr>
      <w:r>
        <w:t>Các script, bộ dữ liệu cố định (fixture) và biên bản kiểm tra được xây dựng trong dự án, do tác giả chịu trách nhiệm; chưa có người xem xét độc lập ngoài tác giả. Kỳ vọng kiểm tra và phần tính toán có thể cùng chịu ảnh hưởng của một giả định sai, nên kết quả PASS cần được hiểu trong giới hạn tự kiểm tra.</w:t>
      </w:r>
    </w:p>
    <w:p>
      <w:pPr>
        <w:jc w:val="both"/>
      </w:pPr>
      <w:r>
        <w:t>Trong quá trình thực hiện, công cụ AI ChatGPT/Codex được sử dụng để hỗ trợ rà soát tài liệu, đề xuất chỉnh sửa, soạn thảo và tạo script xử lý tài liệu. Tác giả chịu trách nhiệm về nội dung, việc đối chiếu nguồn và các quyết định thiết kế. Kết quả rà soát bằng AI không được tính là xác nhận độc lập, người chấm G thứ hai hoặc bằng chứng kiểm thử CRM.</w:t>
      </w:r>
    </w:p>
    <w:p>
      <w:pPr>
        <w:pStyle w:val="Heading2"/>
        <w:jc w:val="both"/>
      </w:pPr>
      <w:r>
        <w:t>3.2 Mô hình đánh giá rủi ro có điều kiện</w:t>
      </w:r>
    </w:p>
    <w:p>
      <w:pPr>
        <w:jc w:val="both"/>
      </w:pPr>
      <w:r>
        <w:t>Phương pháp RM-01 v0.4-r3 sử dụng các giá trị nguyên từ 1 đến 5 cho đầu vào đã xác định. Chỉ số được tính trong điều kiện các tiền đề của kịch bản đã đúng, vì vậy không được diễn giải thành xác suất sự cố trong năm. Mục đích chính là đối chiếu trước và sau khắc phục của cùng kịch bản, cùng phạm vi, phương pháp và loại đánh giá [6].</w:t>
      </w:r>
    </w:p>
    <w:p>
      <w:pPr>
        <w:pStyle w:val="Caption"/>
        <w:keepNext/>
        <w:jc w:val="both"/>
      </w:pPr>
      <w:r>
        <w:t>Bảng 2 Các yếu tố trong RM-01</w:t>
      </w:r>
    </w:p>
    <w:tbl>
      <w:tblPr>
        <w:tblW w:type="auto" w:w="0"/>
        <w:jc w:val="center"/>
        <w:tblLayout w:type="fixed"/>
        <w:tblLook w:firstColumn="1" w:firstRow="1" w:lastColumn="0" w:lastRow="0" w:noHBand="0" w:noVBand="1" w:val="04A0"/>
      </w:tblPr>
      <w:tblGrid>
        <w:gridCol w:w="4621"/>
        <w:gridCol w:w="4621"/>
      </w:tblGrid>
      <w:tr>
        <w:trPr>
          <w:cantSplit/>
          <w:tblHeader/>
        </w:trPr>
        <w:tc>
          <w:tcPr>
            <w:tcW w:type="dxa" w:w="2069"/>
            <w:vAlign w:val="center"/>
            <w:tcBorders>
              <w:top w:val="single" w:sz="4" w:color="D9D9D9"/>
              <w:left w:val="single" w:sz="4" w:color="D9D9D9"/>
              <w:bottom w:val="single" w:sz="4" w:color="D9D9D9"/>
              <w:right w:val="single" w:sz="4" w:color="D9D9D9"/>
            </w:tcBorders>
            <w:shd w:fill="EBEEF1"/>
          </w:tcPr>
          <w:p>
            <w:pPr>
              <w:keepNext/>
              <w:spacing w:after="80" w:before="80" w:line="252" w:lineRule="auto"/>
            </w:pPr>
            <w:r>
              <w:rPr>
                <w:b/>
                <w:sz w:val="21"/>
              </w:rPr>
              <w:t>Yếu tố</w:t>
            </w:r>
          </w:p>
        </w:tc>
        <w:tc>
          <w:tcPr>
            <w:tcW w:type="dxa" w:w="7172"/>
            <w:vAlign w:val="center"/>
            <w:tcBorders>
              <w:top w:val="single" w:sz="4" w:color="D9D9D9"/>
              <w:left w:val="single" w:sz="4" w:color="D9D9D9"/>
              <w:bottom w:val="single" w:sz="4" w:color="D9D9D9"/>
              <w:right w:val="single" w:sz="4" w:color="D9D9D9"/>
            </w:tcBorders>
            <w:shd w:fill="EBEEF1"/>
          </w:tcPr>
          <w:p>
            <w:pPr>
              <w:keepNext/>
              <w:spacing w:after="80" w:before="80" w:line="252" w:lineRule="auto"/>
            </w:pPr>
            <w:r>
              <w:rPr>
                <w:b/>
                <w:sz w:val="21"/>
              </w:rPr>
              <w:t>Cách diễn giải</w:t>
            </w:r>
          </w:p>
        </w:tc>
      </w:tr>
      <w:tr>
        <w:trPr>
          <w:cantSplit/>
        </w:trPr>
        <w:tc>
          <w:tcPr>
            <w:tcW w:type="dxa" w:w="2069"/>
            <w:vAlign w:val="center"/>
            <w:tcBorders>
              <w:top w:val="single" w:sz="4" w:color="D9D9D9"/>
              <w:left w:val="single" w:sz="4" w:color="D9D9D9"/>
              <w:bottom w:val="single" w:sz="4" w:color="D9D9D9"/>
              <w:right w:val="single" w:sz="4" w:color="D9D9D9"/>
            </w:tcBorders>
          </w:tcPr>
          <w:p>
            <w:pPr>
              <w:spacing w:after="80" w:before="80" w:line="252" w:lineRule="auto"/>
            </w:pPr>
            <w:r>
              <w:rPr>
                <w:b w:val="0"/>
                <w:sz w:val="21"/>
              </w:rPr>
              <w:t>E</w:t>
            </w:r>
          </w:p>
        </w:tc>
        <w:tc>
          <w:tcPr>
            <w:tcW w:type="dxa" w:w="7172"/>
            <w:vAlign w:val="center"/>
            <w:tcBorders>
              <w:top w:val="single" w:sz="4" w:color="D9D9D9"/>
              <w:left w:val="single" w:sz="4" w:color="D9D9D9"/>
              <w:bottom w:val="single" w:sz="4" w:color="D9D9D9"/>
              <w:right w:val="single" w:sz="4" w:color="D9D9D9"/>
            </w:tcBorders>
          </w:tcPr>
          <w:p>
            <w:pPr>
              <w:spacing w:after="80" w:before="80" w:line="252" w:lineRule="auto"/>
            </w:pPr>
            <w:r>
              <w:rPr>
                <w:b w:val="0"/>
                <w:sz w:val="21"/>
              </w:rPr>
              <w:t>Cơ hội hành động còn lại sau khi các tiền điều kiện của kịch bản đã đúng.</w:t>
            </w:r>
          </w:p>
        </w:tc>
      </w:tr>
      <w:tr>
        <w:trPr>
          <w:cantSplit/>
        </w:trPr>
        <w:tc>
          <w:tcPr>
            <w:tcW w:type="dxa" w:w="2069"/>
            <w:vAlign w:val="center"/>
            <w:tcBorders>
              <w:top w:val="single" w:sz="4" w:color="D9D9D9"/>
              <w:left w:val="single" w:sz="4" w:color="D9D9D9"/>
              <w:bottom w:val="single" w:sz="4" w:color="D9D9D9"/>
              <w:right w:val="single" w:sz="4" w:color="D9D9D9"/>
            </w:tcBorders>
          </w:tcPr>
          <w:p>
            <w:pPr>
              <w:spacing w:after="80" w:before="80" w:line="252" w:lineRule="auto"/>
            </w:pPr>
            <w:r>
              <w:rPr>
                <w:b w:val="0"/>
                <w:sz w:val="21"/>
              </w:rPr>
              <w:t>F</w:t>
            </w:r>
          </w:p>
        </w:tc>
        <w:tc>
          <w:tcPr>
            <w:tcW w:type="dxa" w:w="7172"/>
            <w:vAlign w:val="center"/>
            <w:tcBorders>
              <w:top w:val="single" w:sz="4" w:color="D9D9D9"/>
              <w:left w:val="single" w:sz="4" w:color="D9D9D9"/>
              <w:bottom w:val="single" w:sz="4" w:color="D9D9D9"/>
              <w:right w:val="single" w:sz="4" w:color="D9D9D9"/>
            </w:tcBorders>
          </w:tcPr>
          <w:p>
            <w:pPr>
              <w:spacing w:after="80" w:before="80" w:line="252" w:lineRule="auto"/>
            </w:pPr>
            <w:r>
              <w:rPr>
                <w:b w:val="0"/>
                <w:sz w:val="21"/>
              </w:rPr>
              <w:t>Mức dễ thực hiện khi tạm bỏ tác dụng của đúng các control được đánh giá ở G; các điều kiện khác được giữ nguyên.</w:t>
            </w:r>
          </w:p>
        </w:tc>
      </w:tr>
      <w:tr>
        <w:trPr>
          <w:cantSplit/>
        </w:trPr>
        <w:tc>
          <w:tcPr>
            <w:tcW w:type="dxa" w:w="2069"/>
            <w:vAlign w:val="center"/>
            <w:tcBorders>
              <w:top w:val="single" w:sz="4" w:color="D9D9D9"/>
              <w:left w:val="single" w:sz="4" w:color="D9D9D9"/>
              <w:bottom w:val="single" w:sz="4" w:color="D9D9D9"/>
              <w:right w:val="single" w:sz="4" w:color="D9D9D9"/>
            </w:tcBorders>
          </w:tcPr>
          <w:p>
            <w:pPr>
              <w:spacing w:after="80" w:before="80" w:line="252" w:lineRule="auto"/>
            </w:pPr>
            <w:r>
              <w:rPr>
                <w:b w:val="0"/>
                <w:sz w:val="21"/>
              </w:rPr>
              <w:t>G</w:t>
            </w:r>
          </w:p>
        </w:tc>
        <w:tc>
          <w:tcPr>
            <w:tcW w:type="dxa" w:w="7172"/>
            <w:vAlign w:val="center"/>
            <w:tcBorders>
              <w:top w:val="single" w:sz="4" w:color="D9D9D9"/>
              <w:left w:val="single" w:sz="4" w:color="D9D9D9"/>
              <w:bottom w:val="single" w:sz="4" w:color="D9D9D9"/>
              <w:right w:val="single" w:sz="4" w:color="D9D9D9"/>
            </w:tcBorders>
          </w:tcPr>
          <w:p>
            <w:pPr>
              <w:spacing w:after="80" w:before="80" w:line="252" w:lineRule="auto"/>
            </w:pPr>
            <w:r>
              <w:rPr>
                <w:b w:val="0"/>
                <w:sz w:val="21"/>
              </w:rPr>
              <w:t>Giá trị tổng hợp theo đường thay thế dẫn tới cùng sự kiện. Giá trị cao hơn thể hiện bảo vệ yếu hơn theo rubric đã xác định.</w:t>
            </w:r>
          </w:p>
        </w:tc>
      </w:tr>
      <w:tr>
        <w:trPr>
          <w:cantSplit/>
        </w:trPr>
        <w:tc>
          <w:tcPr>
            <w:tcW w:type="dxa" w:w="2069"/>
            <w:vAlign w:val="center"/>
            <w:tcBorders>
              <w:top w:val="single" w:sz="4" w:color="D9D9D9"/>
              <w:left w:val="single" w:sz="4" w:color="D9D9D9"/>
              <w:bottom w:val="single" w:sz="4" w:color="D9D9D9"/>
              <w:right w:val="single" w:sz="4" w:color="D9D9D9"/>
            </w:tcBorders>
          </w:tcPr>
          <w:p>
            <w:pPr>
              <w:spacing w:after="80" w:before="80" w:line="252" w:lineRule="auto"/>
            </w:pPr>
            <w:r>
              <w:rPr>
                <w:b w:val="0"/>
                <w:sz w:val="21"/>
              </w:rPr>
              <w:t xml:space="preserve">C, </w:t>
            </w:r>
            <w:r>
              <w:rPr>
                <w:b w:val="0"/>
                <w:sz w:val="21"/>
              </w:rPr>
              <w:t>I</w:t>
            </w:r>
            <w:r>
              <w:rPr>
                <w:b w:val="0"/>
                <w:sz w:val="21"/>
                <w:vertAlign w:val="subscript"/>
              </w:rPr>
              <w:t>integrity</w:t>
            </w:r>
            <w:r>
              <w:rPr>
                <w:b w:val="0"/>
                <w:sz w:val="21"/>
              </w:rPr>
              <w:t>, A, B</w:t>
            </w:r>
          </w:p>
        </w:tc>
        <w:tc>
          <w:tcPr>
            <w:tcW w:type="dxa" w:w="7172"/>
            <w:vAlign w:val="center"/>
            <w:tcBorders>
              <w:top w:val="single" w:sz="4" w:color="D9D9D9"/>
              <w:left w:val="single" w:sz="4" w:color="D9D9D9"/>
              <w:bottom w:val="single" w:sz="4" w:color="D9D9D9"/>
              <w:right w:val="single" w:sz="4" w:color="D9D9D9"/>
            </w:tcBorders>
          </w:tcPr>
          <w:p>
            <w:pPr>
              <w:spacing w:after="80" w:before="80" w:line="252" w:lineRule="auto"/>
            </w:pPr>
            <w:r>
              <w:rPr>
                <w:b w:val="0"/>
                <w:sz w:val="21"/>
              </w:rPr>
              <w:t>Tác động đến tính bí mật, toàn vẹn, sẵn sàng và hoạt động kinh doanh.</w:t>
            </w:r>
          </w:p>
        </w:tc>
      </w:tr>
    </w:tbl>
    <w:p>
      <w:pPr>
        <w:spacing w:after="40"/>
      </w:pPr>
    </w:p>
    <w:p>
      <w:pPr>
        <w:spacing w:after="60"/>
        <w:jc w:val="center"/>
      </w:pPr>
      <w:r>
        <w:t>P = 0,40 × E + 0,60 × F     (1)</w:t>
      </w:r>
    </w:p>
    <w:p>
      <w:pPr>
        <w:spacing w:after="60"/>
        <w:jc w:val="center"/>
      </w:pPr>
      <w:r>
        <w:t>L = 1 + (P − 1) × G / 5     (2)</w:t>
      </w:r>
    </w:p>
    <w:p>
      <w:pPr>
        <w:spacing w:after="60"/>
        <w:jc w:val="center"/>
      </w:pPr>
      <w:r/>
      <w:r>
        <w:t>I</w:t>
      </w:r>
      <w:r>
        <w:rPr>
          <w:vertAlign w:val="subscript"/>
        </w:rPr>
        <w:t>total</w:t>
      </w:r>
      <w:r>
        <w:t xml:space="preserve"> = max(C, </w:t>
      </w:r>
      <w:r>
        <w:t>I</w:t>
      </w:r>
      <w:r>
        <w:rPr>
          <w:vertAlign w:val="subscript"/>
        </w:rPr>
        <w:t>integrity</w:t>
      </w:r>
      <w:r>
        <w:t>, A, B)     (3)</w:t>
      </w:r>
    </w:p>
    <w:p>
      <w:pPr>
        <w:spacing w:after="60"/>
        <w:jc w:val="center"/>
      </w:pPr>
      <w:r>
        <w:t xml:space="preserve">R = L × </w:t>
      </w:r>
      <w:r>
        <w:t>I</w:t>
      </w:r>
      <w:r>
        <w:rPr>
          <w:vertAlign w:val="subscript"/>
        </w:rPr>
        <w:t>total</w:t>
      </w:r>
      <w:r>
        <w:t xml:space="preserve">     (4)</w:t>
      </w:r>
    </w:p>
    <w:p>
      <w:pPr>
        <w:jc w:val="both"/>
      </w:pPr>
      <w:r>
        <w:t xml:space="preserve">P là chỉ số kết hợp E và F; L là chỉ số khả năng có điều kiện sau khi xét G. Cả hai không phải xác suất đã hiệu chuẩn. Để kết quả có thể tính lại chính xác, phương pháp lưu giá trị nguyên </w:t>
      </w:r>
      <w:r>
        <w:t>R</w:t>
      </w:r>
      <w:r>
        <w:rPr>
          <w:vertAlign w:val="subscript"/>
        </w:rPr>
        <w:t>25</w:t>
      </w:r>
      <w:r>
        <w:t xml:space="preserve"> = </w:t>
      </w:r>
      <w:r>
        <w:t>I</w:t>
      </w:r>
      <w:r>
        <w:rPr>
          <w:vertAlign w:val="subscript"/>
        </w:rPr>
        <w:t>total</w:t>
      </w:r>
      <w:r>
        <w:t xml:space="preserve"> × [25 + (2E + 3F − 5) × G], với R = </w:t>
      </w:r>
      <w:r>
        <w:t>R</w:t>
      </w:r>
      <w:r>
        <w:rPr>
          <w:vertAlign w:val="subscript"/>
        </w:rPr>
        <w:t>25</w:t>
      </w:r>
      <w:r>
        <w:t xml:space="preserve">/25. Phân mức dùng </w:t>
      </w:r>
      <w:r>
        <w:t>R</w:t>
      </w:r>
      <w:r>
        <w:rPr>
          <w:vertAlign w:val="subscript"/>
        </w:rPr>
        <w:t>25</w:t>
      </w:r>
      <w:r>
        <w:t xml:space="preserve"> thay vì số đã làm tròn để hiển thị.</w:t>
      </w:r>
    </w:p>
    <w:p>
      <w:pPr>
        <w:jc w:val="both"/>
      </w:pPr>
      <w:r>
        <w:t xml:space="preserve">Các mức ban đầu là LOW khi R nhỏ hơn 5; MODERATE khi 5 ≤ R &lt; 10; HIGH khi 10 ≤ R &lt; 17; và CRITICAL khi R ≥ 17. Quy tắc tác động điều chỉnh nhãn cuối: </w:t>
      </w:r>
      <w:r>
        <w:t>I</w:t>
      </w:r>
      <w:r>
        <w:rPr>
          <w:vertAlign w:val="subscript"/>
        </w:rPr>
        <w:t>total</w:t>
      </w:r>
      <w:r>
        <w:t xml:space="preserve"> = 1 cho mức LOW, </w:t>
      </w:r>
      <w:r>
        <w:t>I</w:t>
      </w:r>
      <w:r>
        <w:rPr>
          <w:vertAlign w:val="subscript"/>
        </w:rPr>
        <w:t>total</w:t>
      </w:r>
      <w:r>
        <w:t xml:space="preserve"> = 2 không vượt MODERATE, còn </w:t>
      </w:r>
      <w:r>
        <w:t>I</w:t>
      </w:r>
      <w:r>
        <w:rPr>
          <w:vertAlign w:val="subscript"/>
        </w:rPr>
        <w:t>total</w:t>
      </w:r>
      <w:r>
        <w:t xml:space="preserve"> ≥ 3 giữ mức ban đầu. Việc điều chỉnh nhãn không thay đổi giá trị R và không làm một control không đạt trở thành đạt [6].</w:t>
      </w:r>
    </w:p>
    <w:p>
      <w:pPr>
        <w:pStyle w:val="Heading2"/>
        <w:jc w:val="both"/>
      </w:pPr>
      <w:r>
        <w:t>3.3 Bằng chứng và dữ liệu chưa xác định</w:t>
      </w:r>
    </w:p>
    <w:p>
      <w:pPr>
        <w:jc w:val="both"/>
      </w:pPr>
      <w:r>
        <w:t>G được xác định từ từng đường trọng yếu như đăng nhập thông thường, đăng ký thêm thiết bị hoặc khôi phục tài khoản. Mỗi đường phải có thông tin về phạm vi được kiểm tra, tiêu chí, bằng chứng và rào cản còn lại. Với các đường thay thế dẫn đến cùng sự kiện, G lấy giá trị lớn nhất; không dùng phép lấy trung bình để làm mờ một đường đã xác minh có thể bị vượt qua.</w:t>
      </w:r>
    </w:p>
    <w:p>
      <w:pPr>
        <w:jc w:val="both"/>
      </w:pPr>
      <w:r>
        <w:t>Khi chưa đủ căn cứ, đầu vào giữ UNKNOWN. Hệ thống có thể tính khoảng giá trị nếu bối cảnh hợp lệ, nhưng vẫn giữ yêu cầu xem xét và phần thiếu bằng chứng. Một đường đã xác minh có g = 5 cùng một đường chưa xác định có thể làm G = 5 trở nên xác định; điều này không có nghĩa toàn bộ phạm vi đã được kiểm tra. Trạng thái điểm số và trạng thái hoàn tất đánh giá vì vậy được lưu riêng.</w:t>
      </w:r>
    </w:p>
    <w:p>
      <w:pPr>
        <w:jc w:val="both"/>
      </w:pPr>
      <w:r>
        <w:t>Thiếu bằng chứng tạo EVIDENCE_GAP; vi phạm tiêu chí đã được xác minh tạo CONTROL_GAP. Hai loại có thể tồn tại đồng thời. Kiểm thử lỗi, thiếu log hoặc không quan sát được hành vi không tự trở thành bằng chứng rằng control đã ngăn chặn thành công. Kết luận cần gắn với phiên bản bằng chứng, phạm vi, tiêu chí và người xác minh [7].</w:t>
      </w:r>
    </w:p>
    <w:p>
      <w:pPr>
        <w:pStyle w:val="Heading2"/>
        <w:jc w:val="both"/>
      </w:pPr>
      <w:r>
        <w:t>3.4 Tiêu chí kiểm soát và đánh giá lại</w:t>
      </w:r>
    </w:p>
    <w:p>
      <w:pPr>
        <w:jc w:val="both"/>
      </w:pPr>
      <w:r>
        <w:t>AC-DEMO-01 là mã nội bộ cho yêu cầu tài khoản CRM hoàn tất mật khẩu và WebAuthn trước khi được cấp quyền nghiệp vụ. Bộ CE-01 có 8 tiêu chí bao phủ phạm vi áp dụng, đăng nhập hợp lệ, từ chối xác thực không hợp lệ, đăng ký thiết bị, khôi phục tài khoản, xác minh challenge/origin/RP ID/chữ ký và người dùng, HTTPS, cùng khả năng truy vết kiểm thử. Bộ TC-01 quy định 24 ca kiểm thử mong đợi, bao gồm các trường hợp vòng đời tài khoản, quyền theo chi nhánh và một ca mở rộng về chuyển dữ liệu [7].</w:t>
      </w:r>
    </w:p>
    <w:p>
      <w:pPr>
        <w:jc w:val="both"/>
      </w:pPr>
      <w:r>
        <w:t>Đánh giá lại sử dụng bằng chứng và kết quả mới, giữ nguyên bản cũ. Phép so sánh chỉ có ý nghĩa khi cùng kịch bản, tiền điều kiện, phạm vi, phiên bản phương pháp, rubric và cùng loại CURRENT hoặc INHERENT. Nếu các điều kiện không tương thích, kết quả là NOT_COMPARABLE kèm lý do. Tiến độ điểm số, từng chiều tác động và việc xử lý gap được trình bày riêng; điểm giảm không tự chứng minh quan hệ nhân quả với biện pháp khắc phục [6], [8].</w:t>
      </w:r>
    </w:p>
    <w:p>
      <w:pPr>
        <w:pStyle w:val="Heading1"/>
        <w:jc w:val="both"/>
      </w:pPr>
      <w:r>
        <w:t>4 Thiết kế hệ thống VN Digital Trust</w:t>
      </w:r>
    </w:p>
    <w:p>
      <w:pPr>
        <w:pStyle w:val="Heading2"/>
        <w:jc w:val="both"/>
      </w:pPr>
      <w:r>
        <w:t>4.1 Mô hình nghiệp vụ và phân quyền</w:t>
      </w:r>
    </w:p>
    <w:p>
      <w:pPr>
        <w:jc w:val="both"/>
      </w:pPr>
      <w:r>
        <w:t>Mô hình nghiệp vụ gồm tám nhóm trường hợp sử dụng: quản lý tổ chức và quyền; quản lý tài sản và bối cảnh; xây dựng kịch bản; đánh giá rủi ro; quản lý control và bằng chứng; đánh giá control và xem xét kết quả; khắc phục và kiểm tra lại; báo cáo và lịch sử. Luồng đánh giá hiện trạng yêu cầu xác minh bằng chứng và đánh giá control trước khi xác nhận G [8].</w:t>
      </w:r>
    </w:p>
    <w:p>
      <w:pPr>
        <w:jc w:val="both"/>
      </w:pPr>
      <w:r>
        <w:t>Các vai trò được thiết kế gồm quản trị hệ thống, người phụ trách kỹ thuật, người chịu trách nhiệm rủi ro và người xem xét được mời. Quyền xác minh bằng chứng, quyền xem xét và quyền phê duyệt ưu tiên được tách riêng. Doanh nghiệp có thể tự đánh giá; trường hợp xem xét độc lập phải do người khác thực hiện trong phạm vi được giao. Một vai trò không mặc nhiên được đọc toàn bộ dữ liệu của doanh nghiệp.</w:t>
      </w:r>
    </w:p>
    <w:p>
      <w:pPr>
        <w:jc w:val="both"/>
      </w:pPr>
      <w:r>
        <w:t>Mỗi thao tác đọc hoặc ghi phải xét trạng thái tài khoản, quyền, phạm vi chi nhánh hoặc đối tượng, phân công đánh giá và thời hạn hiệu lực. Quyền cần được kiểm tra lại trước khi hoàn tất thao tác dài như tải tệp hoặc xuất báo cáo. Có bằng chứng mới, điểm giảm hoặc quyết định chấp nhận rủi ro không tự đóng việc khắc phục; việc đóng cần tiêu chí và quyết định riêng có lưu vết.</w:t>
      </w:r>
    </w:p>
    <w:p>
      <w:pPr>
        <w:pStyle w:val="Heading2"/>
        <w:jc w:val="both"/>
      </w:pPr>
      <w:r>
        <w:t>4.2 Kiến trúc và ranh giới hệ thống</w:t>
      </w:r>
    </w:p>
    <w:p>
      <w:pPr>
        <w:jc w:val="both"/>
      </w:pPr>
      <w:r>
        <w:t>Kiến trúc đề xuất là một ứng dụng chia thành các module nghiệp vụ, sử dụng cơ sở dữ liệu giao dịch và kho tệp riêng. Cách tổ chức này giữ trách nhiệm giữa các phần mà không bổ sung yêu cầu vận hành nhiều dịch vụ độc lập trong phiên bản đầu. Phương án tham chiếu hướng tới máy khoảng 16 GB RAM, nhưng chưa có phép đo tải để xác nhận ngân sách tài nguyên [9].</w:t>
      </w:r>
    </w:p>
    <w:p>
      <w:pPr>
        <w:keepNext/>
        <w:jc w:val="center"/>
      </w:pPr>
      <w:r>
        <w:drawing>
          <wp:inline xmlns:a="http://schemas.openxmlformats.org/drawingml/2006/main" xmlns:pic="http://schemas.openxmlformats.org/drawingml/2006/picture">
            <wp:extent cx="5796000" cy="3150000"/>
            <wp:docPr id="1" name="Picture 1"/>
            <wp:cNvGraphicFramePr>
              <a:graphicFrameLocks noChangeAspect="1"/>
            </wp:cNvGraphicFramePr>
            <a:graphic>
              <a:graphicData uri="http://schemas.openxmlformats.org/drawingml/2006/picture">
                <pic:pic>
                  <pic:nvPicPr>
                    <pic:cNvPr id="0" name="kien-truc.png"/>
                    <pic:cNvPicPr/>
                  </pic:nvPicPr>
                  <pic:blipFill>
                    <a:blip r:embed="rId9"/>
                    <a:stretch>
                      <a:fillRect/>
                    </a:stretch>
                  </pic:blipFill>
                  <pic:spPr>
                    <a:xfrm>
                      <a:off x="0" y="0"/>
                      <a:ext cx="5796000" cy="3150000"/>
                    </a:xfrm>
                    <a:prstGeom prst="rect"/>
                  </pic:spPr>
                </pic:pic>
              </a:graphicData>
            </a:graphic>
          </wp:inline>
        </w:drawing>
      </w:r>
    </w:p>
    <w:p>
      <w:pPr>
        <w:pStyle w:val="Caption"/>
        <w:jc w:val="both"/>
      </w:pPr>
      <w:r>
        <w:t>Hình 1 Kiến trúc logic rút gọn của VN Digital Trust, tổng hợp từ thiết kế kiến trúc [9].</w:t>
      </w:r>
    </w:p>
    <w:p>
      <w:pPr>
        <w:jc w:val="both"/>
      </w:pPr>
      <w:r>
        <w:t>CRM là nơi thực thi các control cần đánh giá; VN Digital Trust lưu bối cảnh, bằng chứng và quyết định. Danh tính, phiên đăng nhập và quyền của hai hệ thống được tách biệt. Người có quyền thu thập và nộp bằng chứng từ CRM hoặc lab; công cụ bên ngoài không có đường tự động ghi kết luận rủi ro vào hệ thống. Atomic Red Team và Caldera chỉ được xem là công cụ kiểm chứng bên ngoài, chưa được tích hợp hoặc chạy.</w:t>
      </w:r>
    </w:p>
    <w:p>
      <w:pPr>
        <w:pStyle w:val="Heading2"/>
        <w:jc w:val="both"/>
      </w:pPr>
      <w:r>
        <w:t>4.3 Mô hình dữ liệu và lưu giữ lịch sử</w:t>
      </w:r>
    </w:p>
    <w:p>
      <w:pPr>
        <w:jc w:val="both"/>
      </w:pPr>
      <w:r>
        <w:t>Thiết kế dữ liệu bao gồm tổ chức và chi nhánh, tài khoản và phân quyền, tài sản, kịch bản, control, tiêu chí, bằng chứng, đánh giá, khắc phục, so sánh và báo cáo. Bộ DDL có 106 bảng, tính cả bảng con và bảng liên kết. Thiết kế dùng khóa ngoại và ràng buộc cho các quan hệ cốt lõi; dữ liệu JSON có phiên bản phục vụ lưu nội dung snapshot mà không thay thế quan hệ cần kiểm soát bằng khóa ngoại [10].</w:t>
      </w:r>
    </w:p>
    <w:p>
      <w:pPr>
        <w:jc w:val="both"/>
      </w:pPr>
      <w:r>
        <w:t>EvidenceRevision giữ nội dung, nguồn và mã kiểm tra toàn vẹn của một phiên bản bằng chứng; VerificationDecision giữ riêng người xác minh, thời điểm, phạm vi, kết luận và lý do. ControlAssessment tham chiếu đúng tiêu chí và bằng chứng đã dùng. RiskEvaluation lưu bối cảnh, đầu vào, phương pháp và kết quả tính. Quyết định xem xét, ưu tiên, chấp nhận rủi ro và đóng gap được lưu thành các bản ghi riêng.</w:t>
      </w:r>
    </w:p>
    <w:p>
      <w:pPr>
        <w:jc w:val="both"/>
      </w:pPr>
      <w:r>
        <w:t>Các snapshot và quyết định được thiết kế theo nguyên tắc bổ sung bản mới, không sửa đè lịch sử đã công bố. Dữ liệu cho phép cập nhật dùng số phiên bản để phát hiện xung đột. Báo cáo tại một thời điểm tham chiếu các snapshot cố định, trong khi quyền đọc nội dung bằng chứng vẫn phải được kiểm tra tại thời điểm truy cập.</w:t>
      </w:r>
    </w:p>
    <w:p>
      <w:pPr>
        <w:pStyle w:val="Heading2"/>
        <w:jc w:val="both"/>
      </w:pPr>
      <w:r>
        <w:t>4.4 Công nghệ và đặc tả giao tiếp</w:t>
      </w:r>
    </w:p>
    <w:p>
      <w:pPr>
        <w:pStyle w:val="Caption"/>
        <w:keepNext/>
        <w:jc w:val="both"/>
      </w:pPr>
      <w:r>
        <w:t>Bảng 3 Các lựa chọn công nghệ trong thiết kế v0.1</w:t>
      </w:r>
    </w:p>
    <w:tbl>
      <w:tblPr>
        <w:tblW w:type="auto" w:w="0"/>
        <w:jc w:val="center"/>
        <w:tblLayout w:type="fixed"/>
        <w:tblLook w:firstColumn="1" w:firstRow="1" w:lastColumn="0" w:lastRow="0" w:noHBand="0" w:noVBand="1" w:val="04A0"/>
      </w:tblPr>
      <w:tblGrid>
        <w:gridCol w:w="3081"/>
        <w:gridCol w:w="3081"/>
        <w:gridCol w:w="3081"/>
      </w:tblGrid>
      <w:tr>
        <w:trPr>
          <w:cantSplit/>
          <w:tblHeader/>
        </w:trPr>
        <w:tc>
          <w:tcPr>
            <w:tcW w:type="dxa" w:w="1667"/>
            <w:vAlign w:val="center"/>
            <w:tcBorders>
              <w:top w:val="single" w:sz="4" w:color="D9D9D9"/>
              <w:left w:val="single" w:sz="4" w:color="D9D9D9"/>
              <w:bottom w:val="single" w:sz="4" w:color="D9D9D9"/>
              <w:right w:val="single" w:sz="4" w:color="D9D9D9"/>
            </w:tcBorders>
            <w:shd w:fill="EBEEF1"/>
          </w:tcPr>
          <w:p>
            <w:pPr>
              <w:keepNext/>
              <w:spacing w:after="80" w:before="80" w:line="252" w:lineRule="auto"/>
            </w:pPr>
            <w:r>
              <w:rPr>
                <w:b/>
                <w:sz w:val="21"/>
              </w:rPr>
              <w:t>Thành phần</w:t>
            </w:r>
          </w:p>
        </w:tc>
        <w:tc>
          <w:tcPr>
            <w:tcW w:type="dxa" w:w="3435"/>
            <w:vAlign w:val="center"/>
            <w:tcBorders>
              <w:top w:val="single" w:sz="4" w:color="D9D9D9"/>
              <w:left w:val="single" w:sz="4" w:color="D9D9D9"/>
              <w:bottom w:val="single" w:sz="4" w:color="D9D9D9"/>
              <w:right w:val="single" w:sz="4" w:color="D9D9D9"/>
            </w:tcBorders>
            <w:shd w:fill="EBEEF1"/>
          </w:tcPr>
          <w:p>
            <w:pPr>
              <w:keepNext/>
              <w:spacing w:after="80" w:before="80" w:line="252" w:lineRule="auto"/>
            </w:pPr>
            <w:r>
              <w:rPr>
                <w:b/>
                <w:sz w:val="21"/>
              </w:rPr>
              <w:t>Lựa chọn</w:t>
            </w:r>
          </w:p>
        </w:tc>
        <w:tc>
          <w:tcPr>
            <w:tcW w:type="dxa" w:w="4138"/>
            <w:vAlign w:val="center"/>
            <w:tcBorders>
              <w:top w:val="single" w:sz="4" w:color="D9D9D9"/>
              <w:left w:val="single" w:sz="4" w:color="D9D9D9"/>
              <w:bottom w:val="single" w:sz="4" w:color="D9D9D9"/>
              <w:right w:val="single" w:sz="4" w:color="D9D9D9"/>
            </w:tcBorders>
            <w:shd w:fill="EBEEF1"/>
          </w:tcPr>
          <w:p>
            <w:pPr>
              <w:keepNext/>
              <w:spacing w:after="80" w:before="80" w:line="252" w:lineRule="auto"/>
            </w:pPr>
            <w:r>
              <w:rPr>
                <w:b/>
                <w:sz w:val="21"/>
              </w:rPr>
              <w:t>Căn cứ trong phạm vi đề tài</w:t>
            </w:r>
          </w:p>
        </w:tc>
      </w:tr>
      <w:tr>
        <w:trPr>
          <w:cantSplit/>
        </w:trPr>
        <w:tc>
          <w:tcPr>
            <w:tcW w:type="dxa" w:w="1667"/>
            <w:vAlign w:val="center"/>
            <w:tcBorders>
              <w:top w:val="single" w:sz="4" w:color="D9D9D9"/>
              <w:left w:val="single" w:sz="4" w:color="D9D9D9"/>
              <w:bottom w:val="single" w:sz="4" w:color="D9D9D9"/>
              <w:right w:val="single" w:sz="4" w:color="D9D9D9"/>
            </w:tcBorders>
          </w:tcPr>
          <w:p>
            <w:pPr>
              <w:spacing w:after="80" w:before="80" w:line="252" w:lineRule="auto"/>
            </w:pPr>
            <w:r>
              <w:rPr>
                <w:b w:val="0"/>
                <w:sz w:val="21"/>
              </w:rPr>
              <w:t>Ứng dụng</w:t>
            </w:r>
          </w:p>
        </w:tc>
        <w:tc>
          <w:tcPr>
            <w:tcW w:type="dxa" w:w="3435"/>
            <w:vAlign w:val="center"/>
            <w:tcBorders>
              <w:top w:val="single" w:sz="4" w:color="D9D9D9"/>
              <w:left w:val="single" w:sz="4" w:color="D9D9D9"/>
              <w:bottom w:val="single" w:sz="4" w:color="D9D9D9"/>
              <w:right w:val="single" w:sz="4" w:color="D9D9D9"/>
            </w:tcBorders>
          </w:tcPr>
          <w:p>
            <w:pPr>
              <w:spacing w:after="80" w:before="80" w:line="252" w:lineRule="auto"/>
            </w:pPr>
            <w:r>
              <w:rPr>
                <w:b w:val="0"/>
                <w:sz w:val="21"/>
              </w:rPr>
              <w:t>Python 3.13; Django 5.2 LTS; DRF 3.16</w:t>
            </w:r>
          </w:p>
        </w:tc>
        <w:tc>
          <w:tcPr>
            <w:tcW w:type="dxa" w:w="4138"/>
            <w:vAlign w:val="center"/>
            <w:tcBorders>
              <w:top w:val="single" w:sz="4" w:color="D9D9D9"/>
              <w:left w:val="single" w:sz="4" w:color="D9D9D9"/>
              <w:bottom w:val="single" w:sz="4" w:color="D9D9D9"/>
              <w:right w:val="single" w:sz="4" w:color="D9D9D9"/>
            </w:tcBorders>
          </w:tcPr>
          <w:p>
            <w:pPr>
              <w:spacing w:after="80" w:before="80" w:line="252" w:lineRule="auto"/>
            </w:pPr>
            <w:r>
              <w:rPr>
                <w:b w:val="0"/>
                <w:sz w:val="21"/>
              </w:rPr>
              <w:t>Tổ chức chung biểu mẫu, xác thực, giao dịch và API.</w:t>
            </w:r>
          </w:p>
        </w:tc>
      </w:tr>
      <w:tr>
        <w:trPr>
          <w:cantSplit/>
        </w:trPr>
        <w:tc>
          <w:tcPr>
            <w:tcW w:type="dxa" w:w="1667"/>
            <w:vAlign w:val="center"/>
            <w:tcBorders>
              <w:top w:val="single" w:sz="4" w:color="D9D9D9"/>
              <w:left w:val="single" w:sz="4" w:color="D9D9D9"/>
              <w:bottom w:val="single" w:sz="4" w:color="D9D9D9"/>
              <w:right w:val="single" w:sz="4" w:color="D9D9D9"/>
            </w:tcBorders>
          </w:tcPr>
          <w:p>
            <w:pPr>
              <w:spacing w:after="80" w:before="80" w:line="252" w:lineRule="auto"/>
            </w:pPr>
            <w:r>
              <w:rPr>
                <w:b w:val="0"/>
                <w:sz w:val="21"/>
              </w:rPr>
              <w:t>Giao diện</w:t>
            </w:r>
          </w:p>
        </w:tc>
        <w:tc>
          <w:tcPr>
            <w:tcW w:type="dxa" w:w="3435"/>
            <w:vAlign w:val="center"/>
            <w:tcBorders>
              <w:top w:val="single" w:sz="4" w:color="D9D9D9"/>
              <w:left w:val="single" w:sz="4" w:color="D9D9D9"/>
              <w:bottom w:val="single" w:sz="4" w:color="D9D9D9"/>
              <w:right w:val="single" w:sz="4" w:color="D9D9D9"/>
            </w:tcBorders>
          </w:tcPr>
          <w:p>
            <w:pPr>
              <w:spacing w:after="80" w:before="80" w:line="252" w:lineRule="auto"/>
            </w:pPr>
            <w:r>
              <w:rPr>
                <w:b w:val="0"/>
                <w:sz w:val="21"/>
              </w:rPr>
              <w:t>Django templates, CSS, JavaScript</w:t>
            </w:r>
          </w:p>
        </w:tc>
        <w:tc>
          <w:tcPr>
            <w:tcW w:type="dxa" w:w="4138"/>
            <w:vAlign w:val="center"/>
            <w:tcBorders>
              <w:top w:val="single" w:sz="4" w:color="D9D9D9"/>
              <w:left w:val="single" w:sz="4" w:color="D9D9D9"/>
              <w:bottom w:val="single" w:sz="4" w:color="D9D9D9"/>
              <w:right w:val="single" w:sz="4" w:color="D9D9D9"/>
            </w:tcBorders>
          </w:tcPr>
          <w:p>
            <w:pPr>
              <w:spacing w:after="80" w:before="80" w:line="252" w:lineRule="auto"/>
            </w:pPr>
            <w:r>
              <w:rPr>
                <w:b w:val="0"/>
                <w:sz w:val="21"/>
              </w:rPr>
              <w:t>Phù hợp luồng nhập liệu, bảng kết quả và lịch sử.</w:t>
            </w:r>
          </w:p>
        </w:tc>
      </w:tr>
      <w:tr>
        <w:trPr>
          <w:cantSplit/>
        </w:trPr>
        <w:tc>
          <w:tcPr>
            <w:tcW w:type="dxa" w:w="1667"/>
            <w:vAlign w:val="center"/>
            <w:tcBorders>
              <w:top w:val="single" w:sz="4" w:color="D9D9D9"/>
              <w:left w:val="single" w:sz="4" w:color="D9D9D9"/>
              <w:bottom w:val="single" w:sz="4" w:color="D9D9D9"/>
              <w:right w:val="single" w:sz="4" w:color="D9D9D9"/>
            </w:tcBorders>
          </w:tcPr>
          <w:p>
            <w:pPr>
              <w:spacing w:after="80" w:before="80" w:line="252" w:lineRule="auto"/>
            </w:pPr>
            <w:r>
              <w:rPr>
                <w:b w:val="0"/>
                <w:sz w:val="21"/>
              </w:rPr>
              <w:t>Dữ liệu</w:t>
            </w:r>
          </w:p>
        </w:tc>
        <w:tc>
          <w:tcPr>
            <w:tcW w:type="dxa" w:w="3435"/>
            <w:vAlign w:val="center"/>
            <w:tcBorders>
              <w:top w:val="single" w:sz="4" w:color="D9D9D9"/>
              <w:left w:val="single" w:sz="4" w:color="D9D9D9"/>
              <w:bottom w:val="single" w:sz="4" w:color="D9D9D9"/>
              <w:right w:val="single" w:sz="4" w:color="D9D9D9"/>
            </w:tcBorders>
          </w:tcPr>
          <w:p>
            <w:pPr>
              <w:spacing w:after="80" w:before="80" w:line="252" w:lineRule="auto"/>
            </w:pPr>
            <w:r>
              <w:rPr>
                <w:b w:val="0"/>
                <w:sz w:val="21"/>
              </w:rPr>
              <w:t>PostgreSQL 17</w:t>
            </w:r>
          </w:p>
        </w:tc>
        <w:tc>
          <w:tcPr>
            <w:tcW w:type="dxa" w:w="4138"/>
            <w:vAlign w:val="center"/>
            <w:tcBorders>
              <w:top w:val="single" w:sz="4" w:color="D9D9D9"/>
              <w:left w:val="single" w:sz="4" w:color="D9D9D9"/>
              <w:bottom w:val="single" w:sz="4" w:color="D9D9D9"/>
              <w:right w:val="single" w:sz="4" w:color="D9D9D9"/>
            </w:tcBorders>
          </w:tcPr>
          <w:p>
            <w:pPr>
              <w:spacing w:after="80" w:before="80" w:line="252" w:lineRule="auto"/>
            </w:pPr>
            <w:r>
              <w:rPr>
                <w:b w:val="0"/>
                <w:sz w:val="21"/>
              </w:rPr>
              <w:t>Lưu quan hệ, ràng buộc, giao dịch và snapshot có cấu trúc.</w:t>
            </w:r>
          </w:p>
        </w:tc>
      </w:tr>
      <w:tr>
        <w:trPr>
          <w:cantSplit/>
        </w:trPr>
        <w:tc>
          <w:tcPr>
            <w:tcW w:type="dxa" w:w="1667"/>
            <w:vAlign w:val="center"/>
            <w:tcBorders>
              <w:top w:val="single" w:sz="4" w:color="D9D9D9"/>
              <w:left w:val="single" w:sz="4" w:color="D9D9D9"/>
              <w:bottom w:val="single" w:sz="4" w:color="D9D9D9"/>
              <w:right w:val="single" w:sz="4" w:color="D9D9D9"/>
            </w:tcBorders>
          </w:tcPr>
          <w:p>
            <w:pPr>
              <w:spacing w:after="80" w:before="80" w:line="252" w:lineRule="auto"/>
            </w:pPr>
            <w:r>
              <w:rPr>
                <w:b w:val="0"/>
                <w:sz w:val="21"/>
              </w:rPr>
              <w:t>Truy cập và tệp</w:t>
            </w:r>
          </w:p>
        </w:tc>
        <w:tc>
          <w:tcPr>
            <w:tcW w:type="dxa" w:w="3435"/>
            <w:vAlign w:val="center"/>
            <w:tcBorders>
              <w:top w:val="single" w:sz="4" w:color="D9D9D9"/>
              <w:left w:val="single" w:sz="4" w:color="D9D9D9"/>
              <w:bottom w:val="single" w:sz="4" w:color="D9D9D9"/>
              <w:right w:val="single" w:sz="4" w:color="D9D9D9"/>
            </w:tcBorders>
          </w:tcPr>
          <w:p>
            <w:pPr>
              <w:spacing w:after="80" w:before="80" w:line="252" w:lineRule="auto"/>
            </w:pPr>
            <w:r>
              <w:rPr>
                <w:b w:val="0"/>
                <w:sz w:val="21"/>
              </w:rPr>
              <w:t>Caddy; kho tệp riêng</w:t>
            </w:r>
          </w:p>
        </w:tc>
        <w:tc>
          <w:tcPr>
            <w:tcW w:type="dxa" w:w="4138"/>
            <w:vAlign w:val="center"/>
            <w:tcBorders>
              <w:top w:val="single" w:sz="4" w:color="D9D9D9"/>
              <w:left w:val="single" w:sz="4" w:color="D9D9D9"/>
              <w:bottom w:val="single" w:sz="4" w:color="D9D9D9"/>
              <w:right w:val="single" w:sz="4" w:color="D9D9D9"/>
            </w:tcBorders>
          </w:tcPr>
          <w:p>
            <w:pPr>
              <w:spacing w:after="80" w:before="80" w:line="252" w:lineRule="auto"/>
            </w:pPr>
            <w:r>
              <w:rPr>
                <w:b w:val="0"/>
                <w:sz w:val="21"/>
              </w:rPr>
              <w:t>Một lối vào HTTPS, tệp bằng chứng không phục vụ công khai.</w:t>
            </w:r>
          </w:p>
        </w:tc>
      </w:tr>
      <w:tr>
        <w:trPr>
          <w:cantSplit/>
        </w:trPr>
        <w:tc>
          <w:tcPr>
            <w:tcW w:type="dxa" w:w="1667"/>
            <w:vAlign w:val="center"/>
            <w:tcBorders>
              <w:top w:val="single" w:sz="4" w:color="D9D9D9"/>
              <w:left w:val="single" w:sz="4" w:color="D9D9D9"/>
              <w:bottom w:val="single" w:sz="4" w:color="D9D9D9"/>
              <w:right w:val="single" w:sz="4" w:color="D9D9D9"/>
            </w:tcBorders>
          </w:tcPr>
          <w:p>
            <w:pPr>
              <w:spacing w:after="80" w:before="80" w:line="252" w:lineRule="auto"/>
            </w:pPr>
            <w:r>
              <w:rPr>
                <w:b w:val="0"/>
                <w:sz w:val="21"/>
              </w:rPr>
              <w:t>Tác vụ nền</w:t>
            </w:r>
          </w:p>
        </w:tc>
        <w:tc>
          <w:tcPr>
            <w:tcW w:type="dxa" w:w="3435"/>
            <w:vAlign w:val="center"/>
            <w:tcBorders>
              <w:top w:val="single" w:sz="4" w:color="D9D9D9"/>
              <w:left w:val="single" w:sz="4" w:color="D9D9D9"/>
              <w:bottom w:val="single" w:sz="4" w:color="D9D9D9"/>
              <w:right w:val="single" w:sz="4" w:color="D9D9D9"/>
            </w:tcBorders>
          </w:tcPr>
          <w:p>
            <w:pPr>
              <w:spacing w:after="80" w:before="80" w:line="252" w:lineRule="auto"/>
            </w:pPr>
            <w:r>
              <w:rPr>
                <w:b w:val="0"/>
                <w:sz w:val="21"/>
              </w:rPr>
              <w:t>Hàng đợi trong PostgreSQL; một worker</w:t>
            </w:r>
          </w:p>
        </w:tc>
        <w:tc>
          <w:tcPr>
            <w:tcW w:type="dxa" w:w="4138"/>
            <w:vAlign w:val="center"/>
            <w:tcBorders>
              <w:top w:val="single" w:sz="4" w:color="D9D9D9"/>
              <w:left w:val="single" w:sz="4" w:color="D9D9D9"/>
              <w:bottom w:val="single" w:sz="4" w:color="D9D9D9"/>
              <w:right w:val="single" w:sz="4" w:color="D9D9D9"/>
            </w:tcBorders>
          </w:tcPr>
          <w:p>
            <w:pPr>
              <w:spacing w:after="80" w:before="80" w:line="252" w:lineRule="auto"/>
            </w:pPr>
            <w:r>
              <w:rPr>
                <w:b w:val="0"/>
                <w:sz w:val="21"/>
              </w:rPr>
              <w:t>Giới hạn tác vụ nặng đồng thời, giảm dịch vụ phụ trợ.</w:t>
            </w:r>
          </w:p>
        </w:tc>
      </w:tr>
    </w:tbl>
    <w:p>
      <w:pPr>
        <w:spacing w:after="40"/>
      </w:pPr>
    </w:p>
    <w:p>
      <w:pPr>
        <w:jc w:val="both"/>
      </w:pPr>
      <w:r>
        <w:t>Các lựa chọn trong Bảng 3 là quyết định thiết kế, chưa phải cấu hình đã triển khai. Môi trường tham chiếu là Linux local hoặc máy ảo; các bản vá và phụ thuộc phải được khóa trước khi xây dựng ứng dụng. Thiết kế API theo OpenAPI 3.1.1 gồm 92 đường dẫn và 123 thao tác, có yêu cầu quyền, kiểm tra đầu vào, lỗi, xử lý yêu cầu gửi lại và kiểm soát cập nhật đồng thời [10].</w:t>
      </w:r>
    </w:p>
    <w:p>
      <w:pPr>
        <w:jc w:val="both"/>
      </w:pPr>
      <w:r>
        <w:t>Tải bằng chứng đi qua HTTPS, xác thực và kiểm quyền trước khi được ghi nhận; tệp tiếp tục qua vùng lưu tạm và kiểm tra trước khi công bố. Thiết kế tách trạng thái lưu tệp khỏi trạng thái xác minh nghiệp vụ. Nếu quyền bị thu hồi, tệp không qua kiểm tra hoặc giao dịch lỗi, hệ thống không được trả kết quả như đã lưu hoàn tất. Sao lưu phải gắn cơ sở dữ liệu với danh sách tệp và mã kiểm tra toàn vẹn tương ứng.</w:t>
      </w:r>
    </w:p>
    <w:p>
      <w:pPr>
        <w:pStyle w:val="Heading1"/>
        <w:jc w:val="both"/>
      </w:pPr>
      <w:r>
        <w:t>5 Kết quả tự kiểm tra thiết kế</w:t>
      </w:r>
    </w:p>
    <w:p>
      <w:pPr>
        <w:pStyle w:val="Heading2"/>
        <w:jc w:val="both"/>
      </w:pPr>
      <w:r>
        <w:t>5.1 Tính nhất quán của phương pháp đánh giá</w:t>
      </w:r>
    </w:p>
    <w:p>
      <w:pPr>
        <w:jc w:val="both"/>
      </w:pPr>
      <w:r>
        <w:t>Bộ kiểm tra RM-01 lưu đầu vào, kỳ vọng và kết quả tính lại để hỗ trợ tái lập. Biên bản nội bộ ghi nhận PASS trong phạm vi phép tính và dữ liệu tổng hợp do dự án chuẩn bị. Bảng 4 tóm tắt các nhóm kiểm tra; số đếm không phải số kịch bản độc lập đã chạy trên CRM và không thể quy đổi thành bằng chứng về chất lượng đánh giá rủi ro ngoài thực tế [11].</w:t>
      </w:r>
    </w:p>
    <w:p>
      <w:pPr>
        <w:pStyle w:val="Caption"/>
        <w:keepNext/>
        <w:jc w:val="both"/>
      </w:pPr>
      <w:r>
        <w:t>Bảng 4 Phạm vi kiểm tra phương pháp RM-01</w:t>
      </w:r>
    </w:p>
    <w:tbl>
      <w:tblPr>
        <w:tblW w:type="auto" w:w="0"/>
        <w:jc w:val="center"/>
        <w:tblLayout w:type="fixed"/>
        <w:tblLook w:firstColumn="1" w:firstRow="1" w:lastColumn="0" w:lastRow="0" w:noHBand="0" w:noVBand="1" w:val="04A0"/>
      </w:tblPr>
      <w:tblGrid>
        <w:gridCol w:w="3081"/>
        <w:gridCol w:w="3081"/>
        <w:gridCol w:w="3081"/>
      </w:tblGrid>
      <w:tr>
        <w:trPr>
          <w:cantSplit/>
          <w:tblHeader/>
        </w:trPr>
        <w:tc>
          <w:tcPr>
            <w:tcW w:type="dxa" w:w="2953"/>
            <w:vAlign w:val="center"/>
            <w:tcBorders>
              <w:top w:val="single" w:sz="4" w:color="D9D9D9"/>
              <w:left w:val="single" w:sz="4" w:color="D9D9D9"/>
              <w:bottom w:val="single" w:sz="4" w:color="D9D9D9"/>
              <w:right w:val="single" w:sz="4" w:color="D9D9D9"/>
            </w:tcBorders>
            <w:shd w:fill="EBEEF1"/>
          </w:tcPr>
          <w:p>
            <w:pPr>
              <w:keepNext/>
              <w:spacing w:after="80" w:before="80" w:line="252" w:lineRule="auto"/>
            </w:pPr>
            <w:r>
              <w:rPr>
                <w:b/>
                <w:sz w:val="21"/>
              </w:rPr>
              <w:t>Nhóm kiểm tra</w:t>
            </w:r>
          </w:p>
        </w:tc>
        <w:tc>
          <w:tcPr>
            <w:tcW w:type="dxa" w:w="1306"/>
            <w:vAlign w:val="center"/>
            <w:tcBorders>
              <w:top w:val="single" w:sz="4" w:color="D9D9D9"/>
              <w:left w:val="single" w:sz="4" w:color="D9D9D9"/>
              <w:bottom w:val="single" w:sz="4" w:color="D9D9D9"/>
              <w:right w:val="single" w:sz="4" w:color="D9D9D9"/>
            </w:tcBorders>
            <w:shd w:fill="EBEEF1"/>
          </w:tcPr>
          <w:p>
            <w:pPr>
              <w:keepNext/>
              <w:spacing w:after="80" w:before="80" w:line="252" w:lineRule="auto"/>
            </w:pPr>
            <w:r>
              <w:rPr>
                <w:b/>
                <w:sz w:val="21"/>
              </w:rPr>
              <w:t>Số lượng</w:t>
            </w:r>
          </w:p>
        </w:tc>
        <w:tc>
          <w:tcPr>
            <w:tcW w:type="dxa" w:w="4982"/>
            <w:vAlign w:val="center"/>
            <w:tcBorders>
              <w:top w:val="single" w:sz="4" w:color="D9D9D9"/>
              <w:left w:val="single" w:sz="4" w:color="D9D9D9"/>
              <w:bottom w:val="single" w:sz="4" w:color="D9D9D9"/>
              <w:right w:val="single" w:sz="4" w:color="D9D9D9"/>
            </w:tcBorders>
            <w:shd w:fill="EBEEF1"/>
          </w:tcPr>
          <w:p>
            <w:pPr>
              <w:keepNext/>
              <w:spacing w:after="80" w:before="80" w:line="252" w:lineRule="auto"/>
            </w:pPr>
            <w:r>
              <w:rPr>
                <w:b/>
                <w:sz w:val="21"/>
              </w:rPr>
              <w:t>Nội dung đối chiếu</w:t>
            </w:r>
          </w:p>
        </w:tc>
      </w:tr>
      <w:tr>
        <w:trPr>
          <w:cantSplit/>
        </w:trPr>
        <w:tc>
          <w:tcPr>
            <w:tcW w:type="dxa" w:w="2953"/>
            <w:vAlign w:val="center"/>
            <w:tcBorders>
              <w:top w:val="single" w:sz="4" w:color="D9D9D9"/>
              <w:left w:val="single" w:sz="4" w:color="D9D9D9"/>
              <w:bottom w:val="single" w:sz="4" w:color="D9D9D9"/>
              <w:right w:val="single" w:sz="4" w:color="D9D9D9"/>
            </w:tcBorders>
          </w:tcPr>
          <w:p>
            <w:pPr>
              <w:spacing w:after="80" w:before="80" w:line="252" w:lineRule="auto"/>
            </w:pPr>
            <w:r>
              <w:rPr>
                <w:b w:val="0"/>
                <w:sz w:val="21"/>
              </w:rPr>
              <w:t>Ca dữ liệu cố định</w:t>
            </w:r>
          </w:p>
        </w:tc>
        <w:tc>
          <w:tcPr>
            <w:tcW w:type="dxa" w:w="1306"/>
            <w:vAlign w:val="center"/>
            <w:tcBorders>
              <w:top w:val="single" w:sz="4" w:color="D9D9D9"/>
              <w:left w:val="single" w:sz="4" w:color="D9D9D9"/>
              <w:bottom w:val="single" w:sz="4" w:color="D9D9D9"/>
              <w:right w:val="single" w:sz="4" w:color="D9D9D9"/>
            </w:tcBorders>
          </w:tcPr>
          <w:p>
            <w:pPr>
              <w:spacing w:after="80" w:before="80" w:line="252" w:lineRule="auto"/>
            </w:pPr>
            <w:r>
              <w:rPr>
                <w:b w:val="0"/>
                <w:sz w:val="21"/>
              </w:rPr>
              <w:t>26</w:t>
            </w:r>
          </w:p>
        </w:tc>
        <w:tc>
          <w:tcPr>
            <w:tcW w:type="dxa" w:w="4982"/>
            <w:vAlign w:val="center"/>
            <w:tcBorders>
              <w:top w:val="single" w:sz="4" w:color="D9D9D9"/>
              <w:left w:val="single" w:sz="4" w:color="D9D9D9"/>
              <w:bottom w:val="single" w:sz="4" w:color="D9D9D9"/>
              <w:right w:val="single" w:sz="4" w:color="D9D9D9"/>
            </w:tcBorders>
          </w:tcPr>
          <w:p>
            <w:pPr>
              <w:spacing w:after="80" w:before="80" w:line="252" w:lineRule="auto"/>
            </w:pPr>
            <w:r>
              <w:rPr>
                <w:b w:val="0"/>
                <w:sz w:val="21"/>
              </w:rPr>
              <w:t>Điểm, khoảng giá trị, trạng thái, gap và cách hiển thị.</w:t>
            </w:r>
          </w:p>
        </w:tc>
      </w:tr>
      <w:tr>
        <w:trPr>
          <w:cantSplit/>
        </w:trPr>
        <w:tc>
          <w:tcPr>
            <w:tcW w:type="dxa" w:w="2953"/>
            <w:vAlign w:val="center"/>
            <w:tcBorders>
              <w:top w:val="single" w:sz="4" w:color="D9D9D9"/>
              <w:left w:val="single" w:sz="4" w:color="D9D9D9"/>
              <w:bottom w:val="single" w:sz="4" w:color="D9D9D9"/>
              <w:right w:val="single" w:sz="4" w:color="D9D9D9"/>
            </w:tcBorders>
          </w:tcPr>
          <w:p>
            <w:pPr>
              <w:spacing w:after="80" w:before="80" w:line="252" w:lineRule="auto"/>
            </w:pPr>
            <w:r>
              <w:rPr>
                <w:b w:val="0"/>
                <w:sz w:val="21"/>
              </w:rPr>
              <w:t>Ca theo dõi tác động</w:t>
            </w:r>
          </w:p>
        </w:tc>
        <w:tc>
          <w:tcPr>
            <w:tcW w:type="dxa" w:w="1306"/>
            <w:vAlign w:val="center"/>
            <w:tcBorders>
              <w:top w:val="single" w:sz="4" w:color="D9D9D9"/>
              <w:left w:val="single" w:sz="4" w:color="D9D9D9"/>
              <w:bottom w:val="single" w:sz="4" w:color="D9D9D9"/>
              <w:right w:val="single" w:sz="4" w:color="D9D9D9"/>
            </w:tcBorders>
          </w:tcPr>
          <w:p>
            <w:pPr>
              <w:spacing w:after="80" w:before="80" w:line="252" w:lineRule="auto"/>
            </w:pPr>
            <w:r>
              <w:rPr>
                <w:b w:val="0"/>
                <w:sz w:val="21"/>
              </w:rPr>
              <w:t>20</w:t>
            </w:r>
          </w:p>
        </w:tc>
        <w:tc>
          <w:tcPr>
            <w:tcW w:type="dxa" w:w="4982"/>
            <w:vAlign w:val="center"/>
            <w:tcBorders>
              <w:top w:val="single" w:sz="4" w:color="D9D9D9"/>
              <w:left w:val="single" w:sz="4" w:color="D9D9D9"/>
              <w:bottom w:val="single" w:sz="4" w:color="D9D9D9"/>
              <w:right w:val="single" w:sz="4" w:color="D9D9D9"/>
            </w:tcBorders>
          </w:tcPr>
          <w:p>
            <w:pPr>
              <w:spacing w:after="80" w:before="80" w:line="252" w:lineRule="auto"/>
            </w:pPr>
            <w:r>
              <w:rPr>
                <w:b w:val="0"/>
                <w:sz w:val="21"/>
              </w:rPr>
              <w:t>Thay đổi từng chiều, dữ liệu thiếu và cảnh báo xấu đi.</w:t>
            </w:r>
          </w:p>
        </w:tc>
      </w:tr>
      <w:tr>
        <w:trPr>
          <w:cantSplit/>
        </w:trPr>
        <w:tc>
          <w:tcPr>
            <w:tcW w:type="dxa" w:w="2953"/>
            <w:vAlign w:val="center"/>
            <w:tcBorders>
              <w:top w:val="single" w:sz="4" w:color="D9D9D9"/>
              <w:left w:val="single" w:sz="4" w:color="D9D9D9"/>
              <w:bottom w:val="single" w:sz="4" w:color="D9D9D9"/>
              <w:right w:val="single" w:sz="4" w:color="D9D9D9"/>
            </w:tcBorders>
          </w:tcPr>
          <w:p>
            <w:pPr>
              <w:spacing w:after="80" w:before="80" w:line="252" w:lineRule="auto"/>
            </w:pPr>
            <w:r>
              <w:rPr>
                <w:b w:val="0"/>
                <w:sz w:val="21"/>
              </w:rPr>
              <w:t>Tổ hợp E/F/G/</w:t>
            </w:r>
            <w:r>
              <w:rPr>
                <w:b w:val="0"/>
                <w:sz w:val="21"/>
              </w:rPr>
              <w:t>I</w:t>
            </w:r>
            <w:r>
              <w:rPr>
                <w:b w:val="0"/>
                <w:sz w:val="21"/>
                <w:vertAlign w:val="subscript"/>
              </w:rPr>
              <w:t>total</w:t>
            </w:r>
            <w:r>
              <w:rPr>
                <w:b w:val="0"/>
                <w:sz w:val="21"/>
              </w:rPr>
            </w:r>
          </w:p>
        </w:tc>
        <w:tc>
          <w:tcPr>
            <w:tcW w:type="dxa" w:w="1306"/>
            <w:vAlign w:val="center"/>
            <w:tcBorders>
              <w:top w:val="single" w:sz="4" w:color="D9D9D9"/>
              <w:left w:val="single" w:sz="4" w:color="D9D9D9"/>
              <w:bottom w:val="single" w:sz="4" w:color="D9D9D9"/>
              <w:right w:val="single" w:sz="4" w:color="D9D9D9"/>
            </w:tcBorders>
          </w:tcPr>
          <w:p>
            <w:pPr>
              <w:spacing w:after="80" w:before="80" w:line="252" w:lineRule="auto"/>
            </w:pPr>
            <w:r>
              <w:rPr>
                <w:b w:val="0"/>
                <w:sz w:val="21"/>
              </w:rPr>
              <w:t>625</w:t>
            </w:r>
          </w:p>
        </w:tc>
        <w:tc>
          <w:tcPr>
            <w:tcW w:type="dxa" w:w="4982"/>
            <w:vAlign w:val="center"/>
            <w:tcBorders>
              <w:top w:val="single" w:sz="4" w:color="D9D9D9"/>
              <w:left w:val="single" w:sz="4" w:color="D9D9D9"/>
              <w:bottom w:val="single" w:sz="4" w:color="D9D9D9"/>
              <w:right w:val="single" w:sz="4" w:color="D9D9D9"/>
            </w:tcBorders>
          </w:tcPr>
          <w:p>
            <w:pPr>
              <w:spacing w:after="80" w:before="80" w:line="252" w:lineRule="auto"/>
            </w:pPr>
            <w:r>
              <w:rPr>
                <w:b w:val="0"/>
                <w:sz w:val="21"/>
              </w:rPr>
              <w:t xml:space="preserve">Công thức phân số so với biểu diễn nguyên </w:t>
            </w:r>
            <w:r>
              <w:rPr>
                <w:b w:val="0"/>
                <w:sz w:val="21"/>
              </w:rPr>
              <w:t>R</w:t>
            </w:r>
            <w:r>
              <w:rPr>
                <w:b w:val="0"/>
                <w:sz w:val="21"/>
                <w:vertAlign w:val="subscript"/>
              </w:rPr>
              <w:t>25</w:t>
            </w:r>
            <w:r>
              <w:rPr>
                <w:b w:val="0"/>
                <w:sz w:val="21"/>
              </w:rPr>
              <w:t>.</w:t>
            </w:r>
          </w:p>
        </w:tc>
      </w:tr>
      <w:tr>
        <w:trPr>
          <w:cantSplit/>
        </w:trPr>
        <w:tc>
          <w:tcPr>
            <w:tcW w:type="dxa" w:w="2953"/>
            <w:vAlign w:val="center"/>
            <w:tcBorders>
              <w:top w:val="single" w:sz="4" w:color="D9D9D9"/>
              <w:left w:val="single" w:sz="4" w:color="D9D9D9"/>
              <w:bottom w:val="single" w:sz="4" w:color="D9D9D9"/>
              <w:right w:val="single" w:sz="4" w:color="D9D9D9"/>
            </w:tcBorders>
          </w:tcPr>
          <w:p>
            <w:pPr>
              <w:spacing w:after="80" w:before="80" w:line="252" w:lineRule="auto"/>
            </w:pPr>
            <w:r>
              <w:rPr>
                <w:b w:val="0"/>
                <w:sz w:val="21"/>
              </w:rPr>
              <w:t>Cạnh tăng một yếu tố</w:t>
            </w:r>
          </w:p>
        </w:tc>
        <w:tc>
          <w:tcPr>
            <w:tcW w:type="dxa" w:w="1306"/>
            <w:vAlign w:val="center"/>
            <w:tcBorders>
              <w:top w:val="single" w:sz="4" w:color="D9D9D9"/>
              <w:left w:val="single" w:sz="4" w:color="D9D9D9"/>
              <w:bottom w:val="single" w:sz="4" w:color="D9D9D9"/>
              <w:right w:val="single" w:sz="4" w:color="D9D9D9"/>
            </w:tcBorders>
          </w:tcPr>
          <w:p>
            <w:pPr>
              <w:spacing w:after="80" w:before="80" w:line="252" w:lineRule="auto"/>
            </w:pPr>
            <w:r>
              <w:rPr>
                <w:b w:val="0"/>
                <w:sz w:val="21"/>
              </w:rPr>
              <w:t>2.000</w:t>
            </w:r>
          </w:p>
        </w:tc>
        <w:tc>
          <w:tcPr>
            <w:tcW w:type="dxa" w:w="4982"/>
            <w:vAlign w:val="center"/>
            <w:tcBorders>
              <w:top w:val="single" w:sz="4" w:color="D9D9D9"/>
              <w:left w:val="single" w:sz="4" w:color="D9D9D9"/>
              <w:bottom w:val="single" w:sz="4" w:color="D9D9D9"/>
              <w:right w:val="single" w:sz="4" w:color="D9D9D9"/>
            </w:tcBorders>
          </w:tcPr>
          <w:p>
            <w:pPr>
              <w:spacing w:after="80" w:before="80" w:line="252" w:lineRule="auto"/>
            </w:pPr>
            <w:r>
              <w:rPr>
                <w:b w:val="0"/>
                <w:sz w:val="21"/>
              </w:rPr>
              <w:t>Điểm và nhãn không giảm khi tăng một đầu vào.</w:t>
            </w:r>
          </w:p>
        </w:tc>
      </w:tr>
      <w:tr>
        <w:trPr>
          <w:cantSplit/>
        </w:trPr>
        <w:tc>
          <w:tcPr>
            <w:tcW w:type="dxa" w:w="2953"/>
            <w:vAlign w:val="center"/>
            <w:tcBorders>
              <w:top w:val="single" w:sz="4" w:color="D9D9D9"/>
              <w:left w:val="single" w:sz="4" w:color="D9D9D9"/>
              <w:bottom w:val="single" w:sz="4" w:color="D9D9D9"/>
              <w:right w:val="single" w:sz="4" w:color="D9D9D9"/>
            </w:tcBorders>
          </w:tcPr>
          <w:p>
            <w:pPr>
              <w:spacing w:after="80" w:before="80" w:line="252" w:lineRule="auto"/>
            </w:pPr>
            <w:r>
              <w:rPr>
                <w:b w:val="0"/>
                <w:sz w:val="21"/>
              </w:rPr>
              <w:t>Biên phân mức</w:t>
            </w:r>
          </w:p>
        </w:tc>
        <w:tc>
          <w:tcPr>
            <w:tcW w:type="dxa" w:w="1306"/>
            <w:vAlign w:val="center"/>
            <w:tcBorders>
              <w:top w:val="single" w:sz="4" w:color="D9D9D9"/>
              <w:left w:val="single" w:sz="4" w:color="D9D9D9"/>
              <w:bottom w:val="single" w:sz="4" w:color="D9D9D9"/>
              <w:right w:val="single" w:sz="4" w:color="D9D9D9"/>
            </w:tcBorders>
          </w:tcPr>
          <w:p>
            <w:pPr>
              <w:spacing w:after="80" w:before="80" w:line="252" w:lineRule="auto"/>
            </w:pPr>
            <w:r>
              <w:rPr>
                <w:b w:val="0"/>
                <w:sz w:val="21"/>
              </w:rPr>
              <w:t>8</w:t>
            </w:r>
          </w:p>
        </w:tc>
        <w:tc>
          <w:tcPr>
            <w:tcW w:type="dxa" w:w="4982"/>
            <w:vAlign w:val="center"/>
            <w:tcBorders>
              <w:top w:val="single" w:sz="4" w:color="D9D9D9"/>
              <w:left w:val="single" w:sz="4" w:color="D9D9D9"/>
              <w:bottom w:val="single" w:sz="4" w:color="D9D9D9"/>
              <w:right w:val="single" w:sz="4" w:color="D9D9D9"/>
            </w:tcBorders>
          </w:tcPr>
          <w:p>
            <w:pPr>
              <w:spacing w:after="80" w:before="80" w:line="252" w:lineRule="auto"/>
            </w:pPr>
            <w:r>
              <w:rPr>
                <w:b w:val="0"/>
                <w:sz w:val="21"/>
              </w:rPr>
              <w:t xml:space="preserve">Các giá trị sát ngưỡng và hai đầu miền </w:t>
            </w:r>
            <w:r>
              <w:rPr>
                <w:b w:val="0"/>
                <w:sz w:val="21"/>
              </w:rPr>
              <w:t>R</w:t>
            </w:r>
            <w:r>
              <w:rPr>
                <w:b w:val="0"/>
                <w:sz w:val="21"/>
                <w:vertAlign w:val="subscript"/>
              </w:rPr>
              <w:t>25</w:t>
            </w:r>
            <w:r>
              <w:rPr>
                <w:b w:val="0"/>
                <w:sz w:val="21"/>
              </w:rPr>
              <w:t>.</w:t>
            </w:r>
          </w:p>
        </w:tc>
      </w:tr>
    </w:tbl>
    <w:p>
      <w:pPr>
        <w:spacing w:after="40"/>
      </w:pPr>
    </w:p>
    <w:p>
      <w:pPr>
        <w:jc w:val="both"/>
      </w:pPr>
      <w:r>
        <w:t xml:space="preserve">Một kết quả cần lưu ý là điểm tổng hợp có thể giữ nguyên dù một chiều tác động đã giảm. Với dữ liệu MF-04, giảm riêng một trong các chiều C, </w:t>
      </w:r>
      <w:r>
        <w:t>I</w:t>
      </w:r>
      <w:r>
        <w:rPr>
          <w:vertAlign w:val="subscript"/>
        </w:rPr>
        <w:t>integrity</w:t>
      </w:r>
      <w:r>
        <w:t xml:space="preserve"> hoặc B từ 4 xuống 3 vẫn giữ </w:t>
      </w:r>
      <w:r>
        <w:t>I</w:t>
      </w:r>
      <w:r>
        <w:rPr>
          <w:vertAlign w:val="subscript"/>
        </w:rPr>
        <w:t>total</w:t>
      </w:r>
      <w:r>
        <w:t xml:space="preserve"> = 4 và R = 12,32; giảm cả ba làm R còn 9,24. Trường hợp này cho thấy cần trình bày tiến độ tác động riêng, thay vì chỉ dựa vào thay đổi của R [11].</w:t>
      </w:r>
    </w:p>
    <w:p>
      <w:pPr>
        <w:pStyle w:val="Heading2"/>
        <w:jc w:val="both"/>
      </w:pPr>
      <w:r>
        <w:t>5.2 Tính nhất quán của dữ liệu và API</w:t>
      </w:r>
    </w:p>
    <w:p>
      <w:pPr>
        <w:jc w:val="both"/>
      </w:pPr>
      <w:r>
        <w:t>Biên bản nội bộ ngày 21/10/2026 ghi nhận 21/21 kiểm tra tĩnh đạt, gồm cấu trúc OpenAPI, tham chiếu nội bộ, ví dụ dữ liệu, cú pháp DDL, quan hệ khóa ngoại, danh mục quyền, cấu hình và tính toàn vẹn của đầu vào. Ba sơ đồ ERD cùng một sơ đồ tải bằng chứng đã được render và kiểm tra hình ảnh. Đây là kết quả tự kiểm tra của dự án, chưa được người ngoài tác giả xem xét độc lập [12].</w:t>
      </w:r>
    </w:p>
    <w:p>
      <w:pPr>
        <w:pStyle w:val="Caption"/>
        <w:keepNext/>
        <w:jc w:val="both"/>
      </w:pPr>
      <w:r>
        <w:t>Bảng 5 Phạm vi kiểm tra thiết kế dữ liệu và API</w:t>
      </w:r>
    </w:p>
    <w:tbl>
      <w:tblPr>
        <w:tblW w:type="auto" w:w="0"/>
        <w:jc w:val="center"/>
        <w:tblLayout w:type="fixed"/>
        <w:tblLook w:firstColumn="1" w:firstRow="1" w:lastColumn="0" w:lastRow="0" w:noHBand="0" w:noVBand="1" w:val="04A0"/>
      </w:tblPr>
      <w:tblGrid>
        <w:gridCol w:w="3081"/>
        <w:gridCol w:w="3081"/>
        <w:gridCol w:w="3081"/>
      </w:tblGrid>
      <w:tr>
        <w:trPr>
          <w:cantSplit/>
          <w:tblHeader/>
        </w:trPr>
        <w:tc>
          <w:tcPr>
            <w:tcW w:type="dxa" w:w="1888"/>
            <w:vAlign w:val="center"/>
            <w:tcBorders>
              <w:top w:val="single" w:sz="4" w:color="D9D9D9"/>
              <w:left w:val="single" w:sz="4" w:color="D9D9D9"/>
              <w:bottom w:val="single" w:sz="4" w:color="D9D9D9"/>
              <w:right w:val="single" w:sz="4" w:color="D9D9D9"/>
            </w:tcBorders>
            <w:shd w:fill="EBEEF1"/>
          </w:tcPr>
          <w:p>
            <w:pPr>
              <w:keepNext/>
              <w:spacing w:after="80" w:before="80" w:line="252" w:lineRule="auto"/>
            </w:pPr>
            <w:r>
              <w:rPr>
                <w:b/>
                <w:sz w:val="21"/>
              </w:rPr>
              <w:t>Hạng mục</w:t>
            </w:r>
          </w:p>
        </w:tc>
        <w:tc>
          <w:tcPr>
            <w:tcW w:type="dxa" w:w="3817"/>
            <w:vAlign w:val="center"/>
            <w:tcBorders>
              <w:top w:val="single" w:sz="4" w:color="D9D9D9"/>
              <w:left w:val="single" w:sz="4" w:color="D9D9D9"/>
              <w:bottom w:val="single" w:sz="4" w:color="D9D9D9"/>
              <w:right w:val="single" w:sz="4" w:color="D9D9D9"/>
            </w:tcBorders>
            <w:shd w:fill="EBEEF1"/>
          </w:tcPr>
          <w:p>
            <w:pPr>
              <w:keepNext/>
              <w:spacing w:after="80" w:before="80" w:line="252" w:lineRule="auto"/>
            </w:pPr>
            <w:r>
              <w:rPr>
                <w:b/>
                <w:sz w:val="21"/>
              </w:rPr>
              <w:t>Kết quả đã ghi nhận</w:t>
            </w:r>
          </w:p>
        </w:tc>
        <w:tc>
          <w:tcPr>
            <w:tcW w:type="dxa" w:w="3536"/>
            <w:vAlign w:val="center"/>
            <w:tcBorders>
              <w:top w:val="single" w:sz="4" w:color="D9D9D9"/>
              <w:left w:val="single" w:sz="4" w:color="D9D9D9"/>
              <w:bottom w:val="single" w:sz="4" w:color="D9D9D9"/>
              <w:right w:val="single" w:sz="4" w:color="D9D9D9"/>
            </w:tcBorders>
            <w:shd w:fill="EBEEF1"/>
          </w:tcPr>
          <w:p>
            <w:pPr>
              <w:keepNext/>
              <w:spacing w:after="80" w:before="80" w:line="252" w:lineRule="auto"/>
            </w:pPr>
            <w:r>
              <w:rPr>
                <w:b/>
                <w:sz w:val="21"/>
              </w:rPr>
              <w:t>Giới hạn của kết quả</w:t>
            </w:r>
          </w:p>
        </w:tc>
      </w:tr>
      <w:tr>
        <w:trPr>
          <w:cantSplit/>
        </w:trPr>
        <w:tc>
          <w:tcPr>
            <w:tcW w:type="dxa" w:w="1888"/>
            <w:vAlign w:val="center"/>
            <w:tcBorders>
              <w:top w:val="single" w:sz="4" w:color="D9D9D9"/>
              <w:left w:val="single" w:sz="4" w:color="D9D9D9"/>
              <w:bottom w:val="single" w:sz="4" w:color="D9D9D9"/>
              <w:right w:val="single" w:sz="4" w:color="D9D9D9"/>
            </w:tcBorders>
          </w:tcPr>
          <w:p>
            <w:pPr>
              <w:spacing w:after="80" w:before="80" w:line="252" w:lineRule="auto"/>
            </w:pPr>
            <w:r>
              <w:rPr>
                <w:b w:val="0"/>
                <w:sz w:val="21"/>
              </w:rPr>
              <w:t>OpenAPI</w:t>
            </w:r>
          </w:p>
        </w:tc>
        <w:tc>
          <w:tcPr>
            <w:tcW w:type="dxa" w:w="3817"/>
            <w:vAlign w:val="center"/>
            <w:tcBorders>
              <w:top w:val="single" w:sz="4" w:color="D9D9D9"/>
              <w:left w:val="single" w:sz="4" w:color="D9D9D9"/>
              <w:bottom w:val="single" w:sz="4" w:color="D9D9D9"/>
              <w:right w:val="single" w:sz="4" w:color="D9D9D9"/>
            </w:tcBorders>
          </w:tcPr>
          <w:p>
            <w:pPr>
              <w:spacing w:after="80" w:before="80" w:line="252" w:lineRule="auto"/>
            </w:pPr>
            <w:r>
              <w:rPr>
                <w:b w:val="0"/>
                <w:sz w:val="21"/>
              </w:rPr>
              <w:t>92 đường dẫn; 123 mã thao tác duy nhất; 6 ví dụ hợp lệ.</w:t>
            </w:r>
          </w:p>
        </w:tc>
        <w:tc>
          <w:tcPr>
            <w:tcW w:type="dxa" w:w="3536"/>
            <w:vAlign w:val="center"/>
            <w:tcBorders>
              <w:top w:val="single" w:sz="4" w:color="D9D9D9"/>
              <w:left w:val="single" w:sz="4" w:color="D9D9D9"/>
              <w:bottom w:val="single" w:sz="4" w:color="D9D9D9"/>
              <w:right w:val="single" w:sz="4" w:color="D9D9D9"/>
            </w:tcBorders>
          </w:tcPr>
          <w:p>
            <w:pPr>
              <w:spacing w:after="80" w:before="80" w:line="252" w:lineRule="auto"/>
            </w:pPr>
            <w:r>
              <w:rPr>
                <w:b w:val="0"/>
                <w:sz w:val="21"/>
              </w:rPr>
              <w:t>Chưa có dịch vụ API chạy để kiểm hành vi.</w:t>
            </w:r>
          </w:p>
        </w:tc>
      </w:tr>
      <w:tr>
        <w:trPr>
          <w:cantSplit/>
        </w:trPr>
        <w:tc>
          <w:tcPr>
            <w:tcW w:type="dxa" w:w="1888"/>
            <w:vAlign w:val="center"/>
            <w:tcBorders>
              <w:top w:val="single" w:sz="4" w:color="D9D9D9"/>
              <w:left w:val="single" w:sz="4" w:color="D9D9D9"/>
              <w:bottom w:val="single" w:sz="4" w:color="D9D9D9"/>
              <w:right w:val="single" w:sz="4" w:color="D9D9D9"/>
            </w:tcBorders>
          </w:tcPr>
          <w:p>
            <w:pPr>
              <w:spacing w:after="80" w:before="80" w:line="252" w:lineRule="auto"/>
            </w:pPr>
            <w:r>
              <w:rPr>
                <w:b w:val="0"/>
                <w:sz w:val="21"/>
              </w:rPr>
              <w:t>DDL PostgreSQL</w:t>
            </w:r>
          </w:p>
        </w:tc>
        <w:tc>
          <w:tcPr>
            <w:tcW w:type="dxa" w:w="3817"/>
            <w:vAlign w:val="center"/>
            <w:tcBorders>
              <w:top w:val="single" w:sz="4" w:color="D9D9D9"/>
              <w:left w:val="single" w:sz="4" w:color="D9D9D9"/>
              <w:bottom w:val="single" w:sz="4" w:color="D9D9D9"/>
              <w:right w:val="single" w:sz="4" w:color="D9D9D9"/>
            </w:tcBorders>
          </w:tcPr>
          <w:p>
            <w:pPr>
              <w:spacing w:after="80" w:before="80" w:line="252" w:lineRule="auto"/>
            </w:pPr>
            <w:r>
              <w:rPr>
                <w:b w:val="0"/>
                <w:sz w:val="21"/>
              </w:rPr>
              <w:t>Phân tích được 390 câu lệnh, 106 bảng và 10 hàm PL/pgSQL.</w:t>
            </w:r>
          </w:p>
        </w:tc>
        <w:tc>
          <w:tcPr>
            <w:tcW w:type="dxa" w:w="3536"/>
            <w:vAlign w:val="center"/>
            <w:tcBorders>
              <w:top w:val="single" w:sz="4" w:color="D9D9D9"/>
              <w:left w:val="single" w:sz="4" w:color="D9D9D9"/>
              <w:bottom w:val="single" w:sz="4" w:color="D9D9D9"/>
              <w:right w:val="single" w:sz="4" w:color="D9D9D9"/>
            </w:tcBorders>
          </w:tcPr>
          <w:p>
            <w:pPr>
              <w:spacing w:after="80" w:before="80" w:line="252" w:lineRule="auto"/>
            </w:pPr>
            <w:r>
              <w:rPr>
                <w:b w:val="0"/>
                <w:sz w:val="21"/>
              </w:rPr>
              <w:t>Chưa chạy migration, trigger hoặc giao dịch.</w:t>
            </w:r>
          </w:p>
        </w:tc>
      </w:tr>
      <w:tr>
        <w:trPr>
          <w:cantSplit/>
        </w:trPr>
        <w:tc>
          <w:tcPr>
            <w:tcW w:type="dxa" w:w="1888"/>
            <w:vAlign w:val="center"/>
            <w:tcBorders>
              <w:top w:val="single" w:sz="4" w:color="D9D9D9"/>
              <w:left w:val="single" w:sz="4" w:color="D9D9D9"/>
              <w:bottom w:val="single" w:sz="4" w:color="D9D9D9"/>
              <w:right w:val="single" w:sz="4" w:color="D9D9D9"/>
            </w:tcBorders>
          </w:tcPr>
          <w:p>
            <w:pPr>
              <w:spacing w:after="80" w:before="80" w:line="252" w:lineRule="auto"/>
            </w:pPr>
            <w:r>
              <w:rPr>
                <w:b w:val="0"/>
                <w:sz w:val="21"/>
              </w:rPr>
              <w:t>Khóa ngoại</w:t>
            </w:r>
          </w:p>
        </w:tc>
        <w:tc>
          <w:tcPr>
            <w:tcW w:type="dxa" w:w="3817"/>
            <w:vAlign w:val="center"/>
            <w:tcBorders>
              <w:top w:val="single" w:sz="4" w:color="D9D9D9"/>
              <w:left w:val="single" w:sz="4" w:color="D9D9D9"/>
              <w:bottom w:val="single" w:sz="4" w:color="D9D9D9"/>
              <w:right w:val="single" w:sz="4" w:color="D9D9D9"/>
            </w:tcBorders>
          </w:tcPr>
          <w:p>
            <w:pPr>
              <w:spacing w:after="80" w:before="80" w:line="252" w:lineRule="auto"/>
            </w:pPr>
            <w:r>
              <w:rPr>
                <w:b w:val="0"/>
                <w:sz w:val="21"/>
              </w:rPr>
              <w:t>287 khai báo có bảng, cột và khóa đích tương ứng.</w:t>
            </w:r>
          </w:p>
        </w:tc>
        <w:tc>
          <w:tcPr>
            <w:tcW w:type="dxa" w:w="3536"/>
            <w:vAlign w:val="center"/>
            <w:tcBorders>
              <w:top w:val="single" w:sz="4" w:color="D9D9D9"/>
              <w:left w:val="single" w:sz="4" w:color="D9D9D9"/>
              <w:bottom w:val="single" w:sz="4" w:color="D9D9D9"/>
              <w:right w:val="single" w:sz="4" w:color="D9D9D9"/>
            </w:tcBorders>
          </w:tcPr>
          <w:p>
            <w:pPr>
              <w:spacing w:after="80" w:before="80" w:line="252" w:lineRule="auto"/>
            </w:pPr>
            <w:r>
              <w:rPr>
                <w:b w:val="0"/>
                <w:sz w:val="21"/>
              </w:rPr>
              <w:t>Chưa kiểm việc thực thi ràng buộc trên database.</w:t>
            </w:r>
          </w:p>
        </w:tc>
      </w:tr>
      <w:tr>
        <w:trPr>
          <w:cantSplit/>
        </w:trPr>
        <w:tc>
          <w:tcPr>
            <w:tcW w:type="dxa" w:w="1888"/>
            <w:vAlign w:val="center"/>
            <w:tcBorders>
              <w:top w:val="single" w:sz="4" w:color="D9D9D9"/>
              <w:left w:val="single" w:sz="4" w:color="D9D9D9"/>
              <w:bottom w:val="single" w:sz="4" w:color="D9D9D9"/>
              <w:right w:val="single" w:sz="4" w:color="D9D9D9"/>
            </w:tcBorders>
          </w:tcPr>
          <w:p>
            <w:pPr>
              <w:spacing w:after="80" w:before="80" w:line="252" w:lineRule="auto"/>
            </w:pPr>
            <w:r>
              <w:rPr>
                <w:b w:val="0"/>
                <w:sz w:val="21"/>
              </w:rPr>
              <w:t>Quyền và cấu hình</w:t>
            </w:r>
          </w:p>
        </w:tc>
        <w:tc>
          <w:tcPr>
            <w:tcW w:type="dxa" w:w="3817"/>
            <w:vAlign w:val="center"/>
            <w:tcBorders>
              <w:top w:val="single" w:sz="4" w:color="D9D9D9"/>
              <w:left w:val="single" w:sz="4" w:color="D9D9D9"/>
              <w:bottom w:val="single" w:sz="4" w:color="D9D9D9"/>
              <w:right w:val="single" w:sz="4" w:color="D9D9D9"/>
            </w:tcBorders>
          </w:tcPr>
          <w:p>
            <w:pPr>
              <w:spacing w:after="80" w:before="80" w:line="252" w:lineRule="auto"/>
            </w:pPr>
            <w:r>
              <w:rPr>
                <w:b w:val="0"/>
                <w:sz w:val="21"/>
              </w:rPr>
              <w:t>Đối chiếu danh mục quyền, nguồn bộ khởi tạo và mẫu cấu hình.</w:t>
            </w:r>
          </w:p>
        </w:tc>
        <w:tc>
          <w:tcPr>
            <w:tcW w:type="dxa" w:w="3536"/>
            <w:vAlign w:val="center"/>
            <w:tcBorders>
              <w:top w:val="single" w:sz="4" w:color="D9D9D9"/>
              <w:left w:val="single" w:sz="4" w:color="D9D9D9"/>
              <w:bottom w:val="single" w:sz="4" w:color="D9D9D9"/>
              <w:right w:val="single" w:sz="4" w:color="D9D9D9"/>
            </w:tcBorders>
          </w:tcPr>
          <w:p>
            <w:pPr>
              <w:spacing w:after="80" w:before="80" w:line="252" w:lineRule="auto"/>
            </w:pPr>
            <w:r>
              <w:rPr>
                <w:b w:val="0"/>
                <w:sz w:val="21"/>
              </w:rPr>
              <w:t>Chưa kiểm quyền trên ứng dụng hoặc khi thu hồi đồng thời.</w:t>
            </w:r>
          </w:p>
        </w:tc>
      </w:tr>
    </w:tbl>
    <w:p>
      <w:pPr>
        <w:spacing w:after="40"/>
      </w:pPr>
    </w:p>
    <w:p>
      <w:pPr>
        <w:jc w:val="both"/>
      </w:pPr>
      <w:r>
        <w:t>Bộ đặc tả còn có 10 tình huống đối chiếu luồng và quyền, cùng 24 ca kiểm thử CRM với kết quả mong đợi. Những tình huống này chưa được thực thi trên prototype. Do đó, kết quả kiểm tra thiết kế không được diễn giải thành tỷ lệ kiểm thử chức năng đạt hoặc bằng chứng rằng hệ thống đã bảo vệ CRM thành công.</w:t>
      </w:r>
    </w:p>
    <w:p>
      <w:pPr>
        <w:pStyle w:val="Heading1"/>
        <w:jc w:val="both"/>
      </w:pPr>
      <w:r>
        <w:t>6 Thảo luận</w:t>
      </w:r>
    </w:p>
    <w:p>
      <w:pPr>
        <w:pStyle w:val="Heading2"/>
        <w:jc w:val="both"/>
      </w:pPr>
      <w:r>
        <w:t>6.1 Ý nghĩa của kết quả thiết kế</w:t>
      </w:r>
    </w:p>
    <w:p>
      <w:pPr>
        <w:jc w:val="both"/>
      </w:pPr>
      <w:r>
        <w:t>Kết quả hiện tại là mô hình thiết kế liên kết bối cảnh, bằng chứng và quyết định trong cùng quy trình. Thiết kế tách trạng thái lưu tệp, xác minh bằng chứng, đánh giá control và tính điểm để không gộp các kết luận khác nhau. Cơ chế phiên bản và snapshot được đề xuất nhằm giải thích báo cáo cũ khi dữ liệu thay đổi; khả năng này còn phải kiểm tra trên prototype.</w:t>
      </w:r>
    </w:p>
    <w:p>
      <w:pPr>
        <w:jc w:val="both"/>
      </w:pPr>
      <w:r>
        <w:t>Khả năng truy vết làm tăng lượng thông tin phải lưu và số quan hệ cần kiểm soát. Quy mô 106 bảng, 92 đường dẫn và 123 thao tác là phạm vi của bộ đặc tả tổng thể, chưa phải khối lượng đã triển khai. Với một người thực hiện và máy khoảng 16 GB RAM, đề tài đề xuất giới hạn prototype đầu tiên ở luồng SC-01, chỉ triển khai bảng, API và quyền cần cho luồng này. Chi phí phát triển, mức dùng tài nguyên và tính đúng của giao dịch vẫn cần được đo khi chạy thử.</w:t>
      </w:r>
    </w:p>
    <w:p>
      <w:pPr>
        <w:pStyle w:val="Heading2"/>
        <w:jc w:val="both"/>
      </w:pPr>
      <w:r>
        <w:t>6.2 Giới hạn phương pháp và khả năng khái quát</w:t>
      </w:r>
    </w:p>
    <w:p>
      <w:pPr>
        <w:jc w:val="both"/>
      </w:pPr>
      <w:r>
        <w:t>Các yếu tố của RM-01 sử dụng thang thứ bậc. Trong nghiên cứu về ma trận rủi ro, Cox (2008) nêu những hạn chế về độ phân giải, khả năng đảo thứ hạng, phân bổ nguồn lực và cách diễn giải chủ quan [13]. RM-01 không trùng với mọi ma trận được bài báo xem xét, nhưng cũng dùng thứ bậc trong phép toán; vì vậy các cảnh báo này là căn cứ để thận trọng, không phải bằng chứng trực tiếp kết luận mô hình đúng hoặc sai. Việc tham khảo Cox ở đây dựa trên phần tóm tắt công khai, chưa phải rà soát toàn văn.</w:t>
      </w:r>
    </w:p>
    <w:p>
      <w:pPr>
        <w:jc w:val="both"/>
      </w:pPr>
      <w:r>
        <w:t>Phép tính chính xác chỉ giúp tái lập kết quả theo quy tắc đã chọn, không biến thang điểm thành phép đo xác suất hay thiệt hại đã hiệu chuẩn. Trọng số E/F và ngưỡng phân mức vẫn là giả định của đề tài. Trong kiểm tra độ nhạy, trọng số 30/70 cho MF-03 và MF-04 lần lượt R = 12,32 và 12,64; với 40/60, kết quả là 12,96 và 12,32. Thứ tự số học đảo chiều, nên R không được dùng một mình để tự động quyết định ưu tiên [11]. Hướng dẫn quy trình của ISO/IEC 27005 cũng không phải căn cứ xác nhận các trọng số này [5].</w:t>
      </w:r>
    </w:p>
    <w:p>
      <w:pPr>
        <w:jc w:val="both"/>
      </w:pPr>
      <w:r>
        <w:t>Rubric G chưa được kiểm chứng về mức đồng thuận giữa những người chấm độc lập. Tiền điều kiện lab cũng chưa cho biết chúng có khả năng đồng thời xuất hiện thế nào ngoài thực tế. Bối cảnh mới giới hạn ở một doanh nghiệp giả lập, chưa có khảo sát hoặc sử dụng thực tế để xác nhận tính phù hợp của quy trình với SME. Những hạn chế này ảnh hưởng trực tiếp đến khả năng khái quát kết quả.</w:t>
      </w:r>
    </w:p>
    <w:p>
      <w:pPr>
        <w:jc w:val="both"/>
      </w:pPr>
      <w:r>
        <w:t>Ở phía kỹ thuật, chưa có dữ liệu vận hành để đánh giá hiệu năng, giới hạn tài nguyên, thu hồi quyền, cập nhật đồng thời, khôi phục dữ liệu hoặc xử lý lỗi giữa kho tệp và database. Kiểm tra tĩnh không đủ phát hiện mọi sai sót ở các cơ chế này. Cấu hình xác thực CRM và môi trường kiểm thử cũng cần được chốt trước khi thu bằng chứng.</w:t>
      </w:r>
    </w:p>
    <w:p>
      <w:pPr>
        <w:pStyle w:val="Heading2"/>
        <w:jc w:val="both"/>
      </w:pPr>
      <w:r>
        <w:t>6.3 Giới hạn của bằng chứng đánh giá</w:t>
      </w:r>
    </w:p>
    <w:p>
      <w:pPr>
        <w:jc w:val="both"/>
      </w:pPr>
      <w:r>
        <w:t>Dữ liệu giả lập cho phép cố định điều kiện để kiểm tra một quy tắc, nhưng chưa cho biết quy trình có phù hợp với cách làm việc của doanh nghiệp thật hay không. Tự chấm lại hoặc nhờ AI rà soát không thay thế người chấm độc lập. Khi thay đổi trọng số, tiêu chí hoặc rubric sau kiểm chứng, cần tạo phiên bản mới và giữ các kết quả cũ để đối chiếu.</w:t>
      </w:r>
    </w:p>
    <w:p>
      <w:pPr>
        <w:pStyle w:val="Heading1"/>
        <w:jc w:val="both"/>
      </w:pPr>
      <w:r>
        <w:t>7 Đối chiếu với quy trình và công cụ hiện có</w:t>
      </w:r>
    </w:p>
    <w:p>
      <w:pPr>
        <w:jc w:val="both"/>
      </w:pPr>
      <w:r>
        <w:t>Bảng tính thủ công được chọn làm phương án đối chiếu đơn giản: các trang tài sản, kịch bản, control, bằng chứng và khắc phục được liên kết bằng mã định danh, kèm thư mục lưu tệp. Đây là quy trình đối chiếu do đề tài sẽ chuẩn bị, chưa phải kết quả khảo sát cách mọi SME đang làm việc. Bảng tính có thể lưu liên kết và lịch sử nếu được thiết kế phù hợp; cần đo công sức duy trì các thông tin này thay vì mặc định bảng tính không làm được.</w:t>
      </w:r>
    </w:p>
    <w:p>
      <w:pPr>
        <w:jc w:val="both"/>
      </w:pPr>
      <w:r>
        <w:t>CISO Assistant là một công cụ GRC có phiên bản mã nguồn mở và quy trình đánh giá rủi ro, theo dõi khắc phục [14]. Tài liệu của công cụ đã mô tả bằng chứng gắn với control, đánh giá yêu cầu và các phiên bản bằng chứng có mã SHA-256 [15]. Do đó, quản lý bằng chứng và lưu lịch sử không phải chức năng mới riêng của VN Digital Trust. Đối chiếu hiện tại dựa trên tài liệu công khai, chưa cài đặt để đo hiệu năng hoặc so sánh trải nghiệm sử dụng.</w:t>
      </w:r>
    </w:p>
    <w:p>
      <w:pPr>
        <w:pStyle w:val="Caption"/>
        <w:keepNext/>
        <w:jc w:val="both"/>
      </w:pPr>
      <w:r>
        <w:t>Bảng 6 Đối chiếu phạm vi và tình trạng kiểm chứng</w:t>
      </w:r>
    </w:p>
    <w:tbl>
      <w:tblPr>
        <w:tblW w:type="auto" w:w="0"/>
        <w:jc w:val="center"/>
        <w:tblLayout w:type="fixed"/>
        <w:tblLook w:firstColumn="1" w:firstRow="1" w:lastColumn="0" w:lastRow="0" w:noHBand="0" w:noVBand="1" w:val="04A0"/>
      </w:tblPr>
      <w:tblGrid>
        <w:gridCol w:w="3081"/>
        <w:gridCol w:w="3081"/>
        <w:gridCol w:w="3081"/>
      </w:tblGrid>
      <w:tr>
        <w:trPr>
          <w:cantSplit/>
          <w:tblHeader/>
        </w:trPr>
        <w:tc>
          <w:tcPr>
            <w:tcW w:type="dxa" w:w="2009"/>
            <w:vAlign w:val="center"/>
            <w:tcBorders>
              <w:top w:val="single" w:sz="4" w:color="D9D9D9"/>
              <w:left w:val="single" w:sz="4" w:color="D9D9D9"/>
              <w:bottom w:val="single" w:sz="4" w:color="D9D9D9"/>
              <w:right w:val="single" w:sz="4" w:color="D9D9D9"/>
            </w:tcBorders>
            <w:shd w:fill="EBEEF1"/>
          </w:tcPr>
          <w:p>
            <w:pPr>
              <w:keepNext/>
              <w:spacing w:after="80" w:before="80" w:line="252" w:lineRule="auto"/>
            </w:pPr>
            <w:r>
              <w:rPr>
                <w:b/>
                <w:sz w:val="21"/>
              </w:rPr>
              <w:t>Phương án</w:t>
            </w:r>
          </w:p>
        </w:tc>
        <w:tc>
          <w:tcPr>
            <w:tcW w:type="dxa" w:w="3616"/>
            <w:vAlign w:val="center"/>
            <w:tcBorders>
              <w:top w:val="single" w:sz="4" w:color="D9D9D9"/>
              <w:left w:val="single" w:sz="4" w:color="D9D9D9"/>
              <w:bottom w:val="single" w:sz="4" w:color="D9D9D9"/>
              <w:right w:val="single" w:sz="4" w:color="D9D9D9"/>
            </w:tcBorders>
            <w:shd w:fill="EBEEF1"/>
          </w:tcPr>
          <w:p>
            <w:pPr>
              <w:keepNext/>
              <w:spacing w:after="80" w:before="80" w:line="252" w:lineRule="auto"/>
            </w:pPr>
            <w:r>
              <w:rPr>
                <w:b/>
                <w:sz w:val="21"/>
              </w:rPr>
              <w:t>Cách tổ chức thông tin</w:t>
            </w:r>
          </w:p>
        </w:tc>
        <w:tc>
          <w:tcPr>
            <w:tcW w:type="dxa" w:w="3616"/>
            <w:vAlign w:val="center"/>
            <w:tcBorders>
              <w:top w:val="single" w:sz="4" w:color="D9D9D9"/>
              <w:left w:val="single" w:sz="4" w:color="D9D9D9"/>
              <w:bottom w:val="single" w:sz="4" w:color="D9D9D9"/>
              <w:right w:val="single" w:sz="4" w:color="D9D9D9"/>
            </w:tcBorders>
            <w:shd w:fill="EBEEF1"/>
          </w:tcPr>
          <w:p>
            <w:pPr>
              <w:keepNext/>
              <w:spacing w:after="80" w:before="80" w:line="252" w:lineRule="auto"/>
            </w:pPr>
            <w:r>
              <w:rPr>
                <w:b/>
                <w:sz w:val="21"/>
              </w:rPr>
              <w:t>Nội dung cần đối chiếu</w:t>
            </w:r>
          </w:p>
        </w:tc>
      </w:tr>
      <w:tr>
        <w:trPr>
          <w:cantSplit/>
        </w:trPr>
        <w:tc>
          <w:tcPr>
            <w:tcW w:type="dxa" w:w="2009"/>
            <w:vAlign w:val="center"/>
            <w:tcBorders>
              <w:top w:val="single" w:sz="4" w:color="D9D9D9"/>
              <w:left w:val="single" w:sz="4" w:color="D9D9D9"/>
              <w:bottom w:val="single" w:sz="4" w:color="D9D9D9"/>
              <w:right w:val="single" w:sz="4" w:color="D9D9D9"/>
            </w:tcBorders>
          </w:tcPr>
          <w:p>
            <w:pPr>
              <w:spacing w:after="80" w:before="80" w:line="252" w:lineRule="auto"/>
            </w:pPr>
            <w:r>
              <w:rPr>
                <w:b w:val="0"/>
                <w:sz w:val="21"/>
              </w:rPr>
              <w:t>Bảng tính thủ công</w:t>
            </w:r>
          </w:p>
        </w:tc>
        <w:tc>
          <w:tcPr>
            <w:tcW w:type="dxa" w:w="3616"/>
            <w:vAlign w:val="center"/>
            <w:tcBorders>
              <w:top w:val="single" w:sz="4" w:color="D9D9D9"/>
              <w:left w:val="single" w:sz="4" w:color="D9D9D9"/>
              <w:bottom w:val="single" w:sz="4" w:color="D9D9D9"/>
              <w:right w:val="single" w:sz="4" w:color="D9D9D9"/>
            </w:tcBorders>
          </w:tcPr>
          <w:p>
            <w:pPr>
              <w:spacing w:after="80" w:before="80" w:line="252" w:lineRule="auto"/>
            </w:pPr>
            <w:r>
              <w:rPr>
                <w:b w:val="0"/>
                <w:sz w:val="21"/>
              </w:rPr>
              <w:t>Mã định danh, liên kết tệp và bản lưu theo quy ước.</w:t>
            </w:r>
          </w:p>
        </w:tc>
        <w:tc>
          <w:tcPr>
            <w:tcW w:type="dxa" w:w="3616"/>
            <w:vAlign w:val="center"/>
            <w:tcBorders>
              <w:top w:val="single" w:sz="4" w:color="D9D9D9"/>
              <w:left w:val="single" w:sz="4" w:color="D9D9D9"/>
              <w:bottom w:val="single" w:sz="4" w:color="D9D9D9"/>
              <w:right w:val="single" w:sz="4" w:color="D9D9D9"/>
            </w:tcBorders>
          </w:tcPr>
          <w:p>
            <w:pPr>
              <w:spacing w:after="80" w:before="80" w:line="252" w:lineRule="auto"/>
            </w:pPr>
            <w:r>
              <w:rPr>
                <w:b w:val="0"/>
                <w:sz w:val="21"/>
              </w:rPr>
              <w:t>Thời gian nhập, tìm căn cứ, cập nhật sau retest; lỗi liên kết hoặc phiên bản.</w:t>
            </w:r>
          </w:p>
        </w:tc>
      </w:tr>
      <w:tr>
        <w:trPr>
          <w:cantSplit/>
        </w:trPr>
        <w:tc>
          <w:tcPr>
            <w:tcW w:type="dxa" w:w="2009"/>
            <w:vAlign w:val="center"/>
            <w:tcBorders>
              <w:top w:val="single" w:sz="4" w:color="D9D9D9"/>
              <w:left w:val="single" w:sz="4" w:color="D9D9D9"/>
              <w:bottom w:val="single" w:sz="4" w:color="D9D9D9"/>
              <w:right w:val="single" w:sz="4" w:color="D9D9D9"/>
            </w:tcBorders>
          </w:tcPr>
          <w:p>
            <w:pPr>
              <w:spacing w:after="80" w:before="80" w:line="252" w:lineRule="auto"/>
            </w:pPr>
            <w:r>
              <w:rPr>
                <w:b w:val="0"/>
                <w:sz w:val="21"/>
              </w:rPr>
              <w:t>CISO Assistant</w:t>
            </w:r>
          </w:p>
        </w:tc>
        <w:tc>
          <w:tcPr>
            <w:tcW w:type="dxa" w:w="3616"/>
            <w:vAlign w:val="center"/>
            <w:tcBorders>
              <w:top w:val="single" w:sz="4" w:color="D9D9D9"/>
              <w:left w:val="single" w:sz="4" w:color="D9D9D9"/>
              <w:bottom w:val="single" w:sz="4" w:color="D9D9D9"/>
              <w:right w:val="single" w:sz="4" w:color="D9D9D9"/>
            </w:tcBorders>
          </w:tcPr>
          <w:p>
            <w:pPr>
              <w:spacing w:after="80" w:before="80" w:line="252" w:lineRule="auto"/>
            </w:pPr>
            <w:r>
              <w:rPr>
                <w:b w:val="0"/>
                <w:sz w:val="21"/>
              </w:rPr>
              <w:t>Có đánh giá rủi ro, control, bằng chứng và lịch sử phiên bản theo tài liệu [14], [15].</w:t>
            </w:r>
          </w:p>
        </w:tc>
        <w:tc>
          <w:tcPr>
            <w:tcW w:type="dxa" w:w="3616"/>
            <w:vAlign w:val="center"/>
            <w:tcBorders>
              <w:top w:val="single" w:sz="4" w:color="D9D9D9"/>
              <w:left w:val="single" w:sz="4" w:color="D9D9D9"/>
              <w:bottom w:val="single" w:sz="4" w:color="D9D9D9"/>
              <w:right w:val="single" w:sz="4" w:color="D9D9D9"/>
            </w:tcBorders>
          </w:tcPr>
          <w:p>
            <w:pPr>
              <w:spacing w:after="80" w:before="80" w:line="252" w:lineRule="auto"/>
            </w:pPr>
            <w:r>
              <w:rPr>
                <w:b w:val="0"/>
                <w:sz w:val="21"/>
              </w:rPr>
              <w:t>Mức đáp ứng các quy tắc của đề tài cần khảo sát cấu hình và thử thực tế.</w:t>
            </w:r>
          </w:p>
        </w:tc>
      </w:tr>
      <w:tr>
        <w:trPr>
          <w:cantSplit/>
        </w:trPr>
        <w:tc>
          <w:tcPr>
            <w:tcW w:type="dxa" w:w="2009"/>
            <w:vAlign w:val="center"/>
            <w:tcBorders>
              <w:top w:val="single" w:sz="4" w:color="D9D9D9"/>
              <w:left w:val="single" w:sz="4" w:color="D9D9D9"/>
              <w:bottom w:val="single" w:sz="4" w:color="D9D9D9"/>
              <w:right w:val="single" w:sz="4" w:color="D9D9D9"/>
            </w:tcBorders>
          </w:tcPr>
          <w:p>
            <w:pPr>
              <w:spacing w:after="80" w:before="80" w:line="252" w:lineRule="auto"/>
            </w:pPr>
            <w:r>
              <w:rPr>
                <w:b w:val="0"/>
                <w:sz w:val="21"/>
              </w:rPr>
              <w:t>VN Digital Trust</w:t>
            </w:r>
          </w:p>
        </w:tc>
        <w:tc>
          <w:tcPr>
            <w:tcW w:type="dxa" w:w="3616"/>
            <w:vAlign w:val="center"/>
            <w:tcBorders>
              <w:top w:val="single" w:sz="4" w:color="D9D9D9"/>
              <w:left w:val="single" w:sz="4" w:color="D9D9D9"/>
              <w:bottom w:val="single" w:sz="4" w:color="D9D9D9"/>
              <w:right w:val="single" w:sz="4" w:color="D9D9D9"/>
            </w:tcBorders>
          </w:tcPr>
          <w:p>
            <w:pPr>
              <w:spacing w:after="80" w:before="80" w:line="252" w:lineRule="auto"/>
            </w:pPr>
            <w:r>
              <w:rPr>
                <w:b w:val="0"/>
                <w:sz w:val="21"/>
              </w:rPr>
              <w:t>Thiết kế tách EVIDENCE_GAP/CONTROL_GAP, UNKNOWN theo khoảng và tiến độ từng chiều.</w:t>
            </w:r>
          </w:p>
        </w:tc>
        <w:tc>
          <w:tcPr>
            <w:tcW w:type="dxa" w:w="3616"/>
            <w:vAlign w:val="center"/>
            <w:tcBorders>
              <w:top w:val="single" w:sz="4" w:color="D9D9D9"/>
              <w:left w:val="single" w:sz="4" w:color="D9D9D9"/>
              <w:bottom w:val="single" w:sz="4" w:color="D9D9D9"/>
              <w:right w:val="single" w:sz="4" w:color="D9D9D9"/>
            </w:tcBorders>
          </w:tcPr>
          <w:p>
            <w:pPr>
              <w:spacing w:after="80" w:before="80" w:line="252" w:lineRule="auto"/>
            </w:pPr>
            <w:r>
              <w:rPr>
                <w:b w:val="0"/>
                <w:sz w:val="21"/>
              </w:rPr>
              <w:t>Chưa có prototype; cần chứng minh tính tái lập, khả năng giải thích và công sức sử dụng.</w:t>
            </w:r>
          </w:p>
        </w:tc>
      </w:tr>
    </w:tbl>
    <w:p>
      <w:pPr>
        <w:spacing w:after="40"/>
      </w:pPr>
    </w:p>
    <w:p>
      <w:pPr>
        <w:jc w:val="both"/>
      </w:pPr>
      <w:r>
        <w:t>Đóng góp dự kiến là cách đặc tả và kiểm chứng các quy tắc trên trong một luồng SC-01 có thể truy vết. Báo cáo chưa khẳng định những quy tắc này hoàn toàn mới hoặc vượt trội so với công cụ GRC hiện có. Giá trị của đề xuất phải được xem xét qua ba câu hỏi nghiên cứu và kết quả đối chiếu sau triển khai.</w:t>
      </w:r>
    </w:p>
    <w:p>
      <w:pPr>
        <w:pStyle w:val="Heading1"/>
        <w:jc w:val="both"/>
      </w:pPr>
      <w:r>
        <w:t>8 Kế hoạch tiếp theo</w:t>
      </w:r>
    </w:p>
    <w:p>
      <w:pPr>
        <w:jc w:val="both"/>
      </w:pPr>
      <w:r>
        <w:t>Phạm vi ưu tiên là một lát cắt dọc SC-01: tài sản → kịch bản → AC-DEMO-01 → bằng chứng → đánh giá → gap → retest → báo cáo. Prototype cần đi hết chuỗi này, giữ bằng chứng và kết quả trước/sau theo phiên bản, kiểm tra quyền đọc và ghi, đồng thời cho phép lần từ báo cáo về căn cứ. Chỉ chọn các bảng và API phục vụ chuỗi đó; các chức năng còn lại giữ ở mức thiết kế. Thời hạn hoàn thành chưa chốt, dự kiến thống nhất với giảng viên sau khi duyệt phạm vi.</w:t>
      </w:r>
    </w:p>
    <w:p>
      <w:pPr>
        <w:jc w:val="both"/>
      </w:pPr>
      <w:r>
        <w:t>Về lab, dự kiến dựng CRM và thực hiện TC-01 từ T01 đến T23 sau khi chốt cấu hình, chính sách phiên và tiền điều kiện. Các ca liên quan đến vòng đời tài khoản và quyền sau đăng nhập vẫn được ghi nhận theo control tương ứng. T24 thuộc SC-02 chỉ triển khai sau khi xác định đường truyền, nơi nhận và chính sách cho phép; hiện tiếp tục giữ NOT_READY. Mỗi lần chạy phải lưu cấu hình, thời điểm, kết quả quan sát và log; ca không đủ điều kiện phải ghi rõ lý do, không chuyển thành PASS.</w:t>
      </w:r>
    </w:p>
    <w:p>
      <w:pPr>
        <w:jc w:val="both"/>
      </w:pPr>
      <w:r>
        <w:t>Để trả lời RQ1, dự kiến dùng cùng bộ ca SC-01 cho prototype và bảng tính thủ công. Các tình huống gồm thiếu bằng chứng, control không đạt, hai loại gap cùng tồn tại và đánh giá lại sau khắc phục. Ghi thời gian nhập liệu, tìm căn cứ, tạo báo cáo trước/sau; đếm liên kết thiếu, trỏ sai phiên bản hoặc phải sửa tay. Thời gian chuẩn bị và thời gian thao tác được tách riêng. Kết quả ban đầu chỉ có ý nghĩa trong bộ ca và người tham gia thử nghiệm, chưa đại diện cho SME nói chung.</w:t>
      </w:r>
    </w:p>
    <w:p>
      <w:pPr>
        <w:jc w:val="both"/>
      </w:pPr>
      <w:r>
        <w:t>Đối với RQ2, dự kiến so sánh cách giữ khoảng UNKNOWN với một cách gán điểm mặc định được chốt trước khi chạy thử. Hai cách dùng cùng đầu vào, cùng phiên bản và có phép tính đối chiếu độc lập với phần cài đặt. Ghi khả năng tái lập, thay đổi điểm hoặc nhãn khi bổ sung dữ liệu, cùng khả năng chỉ ra thành phần còn thiếu. Người xem xét sẽ giải thích căn cứ từ mỗi đầu ra theo cùng câu hỏi. Cả hai cách đều có thể tái lập nếu quy tắc cố định; điều cần kiểm chứng thêm là mức rõ ràng khi diễn giải thông tin chưa biết, không mặc định cách dùng khoảng tốt hơn.</w:t>
      </w:r>
    </w:p>
    <w:p>
      <w:pPr>
        <w:jc w:val="both"/>
      </w:pPr>
      <w:r>
        <w:t>Đối với RQ3, dự kiến thực hiện VALID-G-01 với hai người chấm độc lập, không xem điểm của nhau trước khi nộp phiếu. Theo RM-01, đối chiếu tỷ lệ trùng G, mức chênh lệch, xung đột giữa số và UNKNOWN, khác biệt về phạm vi bằng chứng và nhãn rủi ro; lưu lý do bất đồng trước khi phân xử [6]. Hai lần tự chấm của cùng tác giả không thay thế hai người. Người chấm thứ hai chưa được chốt, cần giảng viên hỗ trợ giới thiệu hoặc xác định phương án phù hợp.</w:t>
      </w:r>
    </w:p>
    <w:p>
      <w:pPr>
        <w:jc w:val="both"/>
      </w:pPr>
      <w:r>
        <w:t>Các điểm đang vướng là giới hạn prototype được chấp thuận, thời gian thực hiện, cấu hình CRM, người chấm G thứ hai và người xác minh bằng chứng. Sau khi thống nhất các điểm này mới lập lịch theo mốc bàn giao và chốt bộ ca cùng tiêu chí đánh giá trước khi chạy thử. Hiện chưa có cam kết tiến độ hoặc kết quả thực nghiệm cho các công việc nêu trên.</w:t>
      </w:r>
    </w:p>
    <w:p>
      <w:pPr>
        <w:pStyle w:val="Heading1"/>
        <w:jc w:val="both"/>
      </w:pPr>
      <w:r>
        <w:t>9 Kết luận</w:t>
      </w:r>
    </w:p>
    <w:p>
      <w:pPr>
        <w:jc w:val="both"/>
      </w:pPr>
      <w:r>
        <w:t>VN Digital Trust hiện có bộ đặc tả phương pháp và thiết kế hệ thống, cùng các kết quả tự kiểm tra số học và tính nhất quán của tài liệu. Chưa có prototype, bằng chứng vận hành CRM hoặc xem xét độc lập ngoài tác giả; ba câu hỏi nghiên cứu vì vậy còn mở. Công việc được đề xuất tiếp theo là triển khai SC-01, đối chiếu với bảng tính và thực hiện kiểm chứng rubric G với người chấm thứ hai. Tác giả đề nghị giảng viên góp ý trước về phạm vi kỹ thuật, nguồn bằng chứng và cách tổ chức đánh giá độc lập để chốt khối lượng và tiến độ thực hiện.</w:t>
      </w:r>
    </w:p>
    <w:p>
      <w:pPr>
        <w:pStyle w:val="Heading1"/>
        <w:jc w:val="both"/>
      </w:pPr>
      <w:r>
        <w:t>Tài liệu tham khảo</w:t>
      </w:r>
    </w:p>
    <w:p>
      <w:pPr>
        <w:jc w:val="left"/>
      </w:pPr>
      <w:r>
        <w:rPr>
          <w:sz w:val="21"/>
        </w:rPr>
        <w:t>[1] Joint Task Force Transformation Initiative, Guide for Conducting Risk Assessments, NIST SP 800-30 Rev. 1, 2012. DOI: 10.6028/NIST.SP.800-30r1. https://csrc.nist.gov/pubs/sp/800/30/r1/final</w:t>
      </w:r>
    </w:p>
    <w:p>
      <w:pPr>
        <w:jc w:val="left"/>
      </w:pPr>
      <w:r>
        <w:rPr>
          <w:sz w:val="21"/>
        </w:rPr>
        <w:t>[2] VN Digital Trust, Quyết định phạm vi kỹ thuật v0.1; Phạm vi lab và dữ liệu giả lập v0.1, 05–09/10/2026. Hồ sơ thiết kế nội bộ: technical-first-scope-v0.1.md; lab-scope-and-fixtures-v0.1.md; lab-fixtures-v0.1.json.</w:t>
      </w:r>
    </w:p>
    <w:p>
      <w:pPr>
        <w:jc w:val="left"/>
      </w:pPr>
      <w:r>
        <w:rPr>
          <w:sz w:val="21"/>
        </w:rPr>
        <w:t>[3] MITRE, “Valid Accounts,” MITRE ATT&amp;CK, T1078, phiên bản 3.0, cập nhật 12/05/2026. https://attack.mitre.org/techniques/T1078/</w:t>
      </w:r>
    </w:p>
    <w:p>
      <w:pPr>
        <w:jc w:val="left"/>
      </w:pPr>
      <w:r>
        <w:rPr>
          <w:sz w:val="21"/>
        </w:rPr>
        <w:t>[4] W3C, Web Authentication: An API for Accessing Public Key Credentials Level 3, W3C Recommendation, 25/08/2026. https://www.w3.org/TR/2026/REC-webauthn-3-20260825/</w:t>
      </w:r>
    </w:p>
    <w:p>
      <w:pPr>
        <w:jc w:val="left"/>
      </w:pPr>
      <w:r>
        <w:rPr>
          <w:sz w:val="21"/>
        </w:rPr>
        <w:t>[5] ISO/IEC, ISO/IEC 27005:2022 — Information security, cybersecurity and privacy protection — Guidance on managing information security risks, ấn bản 4, 2022. Trang giới thiệu công khai: https://www.iso.org/standard/80585.html</w:t>
      </w:r>
    </w:p>
    <w:p>
      <w:pPr>
        <w:jc w:val="left"/>
      </w:pPr>
      <w:r>
        <w:rPr>
          <w:sz w:val="21"/>
        </w:rPr>
        <w:t>[6] VN Digital Trust, RM-01 v0.4-r3 — Chỉ số rủi ro có điều kiện và xem xét bằng chứng, 12/10/2026. Hồ sơ thiết kế nội bộ: risk-method-v0.4.md; profile CONDITIONAL-BASE-v0.4.</w:t>
      </w:r>
    </w:p>
    <w:p>
      <w:pPr>
        <w:jc w:val="left"/>
      </w:pPr>
      <w:r>
        <w:rPr>
          <w:sz w:val="21"/>
        </w:rPr>
        <w:t>[7] VN Digital Trust, Bộ tiêu chí control/evidence CE-01 và ca kiểm thử TC-01 v0.1, 09/10/2026. Hồ sơ thiết kế nội bộ: control-evidence-v0.1.md; control-test-cases-v0.1.md.</w:t>
      </w:r>
    </w:p>
    <w:p>
      <w:pPr>
        <w:jc w:val="left"/>
      </w:pPr>
      <w:r>
        <w:rPr>
          <w:sz w:val="21"/>
        </w:rPr>
        <w:t>[8] VN Digital Trust, Technical Use Cases v0.2-r1, 17/10/2026. Hồ sơ thiết kế nội bộ: use-cases-technical-v0.2.md; flow-fixtures-v0.2.json; activity và sequence tương ứng.</w:t>
      </w:r>
    </w:p>
    <w:p>
      <w:pPr>
        <w:jc w:val="left"/>
      </w:pPr>
      <w:r>
        <w:rPr>
          <w:sz w:val="21"/>
        </w:rPr>
        <w:t>[9] VN Digital Trust, Kiến trúc kỹ thuật v0.1, 18/10/2026. Hồ sơ thiết kế nội bộ: architecture-technical-v0.1.md và sơ đồ container, deployment, evidence/decision.</w:t>
      </w:r>
    </w:p>
    <w:p>
      <w:pPr>
        <w:jc w:val="left"/>
      </w:pPr>
      <w:r>
        <w:rPr>
          <w:sz w:val="21"/>
        </w:rPr>
        <w:t>[10] VN Digital Trust, Thiết kế công nghệ, dữ liệu, API và lưu trữ v0.1, cập nhật 21/10/2026. Hồ sơ nội bộ tại docs/design: technology-decisions, data-model, schema, api-contract, openapi, storage-transactions và configuration.</w:t>
      </w:r>
    </w:p>
    <w:p>
      <w:pPr>
        <w:jc w:val="left"/>
      </w:pPr>
      <w:r>
        <w:rPr>
          <w:sz w:val="21"/>
        </w:rPr>
        <w:t>[11] VN Digital Trust, Bộ kiểm tra tái lập RM-01 v0.4 và báo cáo độ nhạy, 12/10/2026. Hồ sơ nội bộ tại planning/verification: README.md, risk-method-review-v0.4.md và verification-results-v0.4.json.</w:t>
      </w:r>
    </w:p>
    <w:p>
      <w:pPr>
        <w:jc w:val="left"/>
      </w:pPr>
      <w:r>
        <w:rPr>
          <w:sz w:val="21"/>
        </w:rPr>
        <w:t>[12] VN Digital Trust, Biên bản kiểm tra thiết kế dữ liệu và API v0.1, 21/10/2026. Hồ sơ nội bộ: design/validation-v0.1.md và design/verification/results-v0.1.json.</w:t>
      </w:r>
    </w:p>
    <w:p>
      <w:pPr>
        <w:jc w:val="left"/>
      </w:pPr>
      <w:r>
        <w:rPr>
          <w:sz w:val="21"/>
        </w:rPr>
        <w:t>[13] Cox, L. A. Jr., “What’s Wrong with Risk Matrices?”, Risk Analysis, 28(2), tr. 497–512, 2008. DOI: 10.1111/j.1539-6924.2008.01030.x. https://doi.org/10.1111/j.1539-6924.2008.01030.x</w:t>
      </w:r>
    </w:p>
    <w:p>
      <w:pPr>
        <w:jc w:val="left"/>
      </w:pPr>
      <w:r>
        <w:rPr>
          <w:sz w:val="21"/>
        </w:rPr>
        <w:t>[14] intuitem, CISO Assistant Community, kho mã nguồn và tài liệu giới thiệu. https://github.com/intuitem/ciso-assistant-community</w:t>
      </w:r>
    </w:p>
    <w:p>
      <w:pPr>
        <w:jc w:val="left"/>
      </w:pPr>
      <w:r>
        <w:rPr>
          <w:sz w:val="21"/>
        </w:rPr>
        <w:t>[15] intuitem, “Evidence”, CISO Assistant product documentation. https://github.com/intuitem/ciso-assistant-community/blob/main/product-docs/concepts/evidence.md</w:t>
      </w:r>
    </w:p>
    <w:p>
      <w:pPr>
        <w:jc w:val="both"/>
      </w:pPr>
      <w:r>
        <w:rPr>
          <w:i/>
          <w:sz w:val="21"/>
        </w:rPr>
        <w:t>NIST và MITRE [1], [3] được đối chiếu ngày 22/10/2026; W3C, ISO, Cox và CISO Assistant [4], [5], [13]–[15] ngày 23/10/2026. Với Cox [13], phần được tham khảo là tóm tắt công khai; với ISO [5], là giới thiệu công khai. Các kết quả [11]–[12] được trích từ hồ sơ đã lưu, không phải kiểm thử ứng dụng hoặc lab mới thực hiện khi biên tập báo cáo.</w:t>
      </w:r>
    </w:p>
    <w:p>
      <w:pPr>
        <w:pStyle w:val="Heading1"/>
      </w:pPr>
      <w:r>
        <w:t>Phụ lục Danh mục hồ sơ kèm theo</w:t>
      </w:r>
    </w:p>
    <w:p>
      <w:pPr>
        <w:jc w:val="both"/>
      </w:pPr>
      <w:r>
        <w:t>Hồ sơ kèm báo cáo được tổ chức theo ba nhóm để đối chiếu nội dung và kiểm tra chi tiết thiết kế. Mỗi tài liệu chỉ giữ phiên bản hiện hành được sử dụng trong báo cáo. Sơ đồ được cung cấp dưới dạng PNG; danh sách tệp và vị trí tương ứng có trong HUONG-DAN.md tại thư mục báo cáo.</w:t>
      </w:r>
    </w:p>
    <w:p>
      <w:pPr>
        <w:jc w:val="both"/>
      </w:pPr>
      <w:r>
        <w:t>Tai-lieu-tham-khao: 15 tài liệu thuyết minh về phạm vi, yêu cầu, phương pháp rủi ro, tiêu chí kiểm soát, nghiệp vụ, kiến trúc, dữ liệu, API và kết quả rà soát.</w:t>
      </w:r>
    </w:p>
    <w:p>
      <w:pPr>
        <w:jc w:val="both"/>
      </w:pPr>
      <w:r>
        <w:t>So-do-PNG: 9 sơ đồ: activity, sequence, kiến trúc thành phần, triển khai, luồng bằng chứng, ba ERD và luồng tải tệp.</w:t>
      </w:r>
    </w:p>
    <w:p>
      <w:pPr>
        <w:jc w:val="both"/>
      </w:pPr>
      <w:r>
        <w:t>Dac-ta-ky-thuat: Đặc tả OpenAPI, DDL PostgreSQL và hai tệp kết quả kiểm tra đã ghi nhận.</w:t>
      </w:r>
    </w:p>
    <w:sectPr w:rsidR="00FC693F" w:rsidRPr="0006063C" w:rsidSect="00034616">
      <w:footerReference w:type="default" r:id="rId10"/>
      <w:pgSz w:w="11906" w:h="16838"/>
      <w:pgMar w:top="1134" w:right="124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140"/>
    </w:pPr>
    <w:rPr>
      <w:rFonts w:ascii="Times New Roman" w:hAnsi="Times New Roman" w:cs="Times New Roman" w:eastAsia="Times New Roman"/>
      <w:i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imes New Roman" w:hAnsi="Times New Roman" w:cs="Times New Roman" w:eastAsia="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imes New Roman" w:hAnsi="Times New Roman" w:cs="Times New Roman" w:eastAsia="Times New Roman"/>
      <w:b/>
      <w:bCs/>
      <w:i w:val="0"/>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imes New Roman" w:hAnsi="Times New Roman" w:cs="Times New Roman" w:eastAsia="Times New Roman"/>
      <w:b/>
      <w:i w:val="0"/>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40"/>
    </w:pPr>
    <w:rPr>
      <w:rFonts w:ascii="Times New Roman" w:hAnsi="Times New Roman" w:cs="Times New Roman" w:eastAsia="Times New Roman"/>
      <w:b/>
      <w:i w:val="0"/>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cs="Times New Roman" w:eastAsia="Times New Roman"/>
      <w:b w:val="0"/>
      <w:bCs/>
      <w:i/>
      <w:color w:val="000000"/>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VN Digital Trust — Thiết kế hệ thống quản lý rủi ro an toàn thông tin dựa trên bằng chứng</dc:title>
  <dc:subject>Báo cáo nghiên cứu và thiết kế hệ thống</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