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50" w:right="1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50" w:before="150" w:lineRule="auto"/>
        <w:ind w:left="150" w:right="1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ind w:left="150" w:right="150" w:firstLine="0"/>
        <w:rPr>
          <w:color w:val="ffffff"/>
        </w:rPr>
      </w:pPr>
      <w:r w:rsidDel="00000000" w:rsidR="00000000" w:rsidRPr="00000000">
        <w:rPr>
          <w:color w:val="ffffff"/>
          <w:rtl w:val="0"/>
        </w:rPr>
        <w:t xml:space="preserve">CINEMA CLUB</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150" w:right="150" w:firstLine="0"/>
        <w:rPr/>
      </w:pPr>
      <w:r w:rsidDel="00000000" w:rsidR="00000000" w:rsidRPr="00000000">
        <w:rPr>
          <w:rtl w:val="0"/>
        </w:rPr>
        <w:t xml:space="preserve">The official home of the trusted movie reviews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7">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Reviews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Movies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Series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Characters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 coming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Trailers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 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highlight w:val="white"/>
        </w:rPr>
      </w:pPr>
      <w:r w:rsidDel="00000000" w:rsidR="00000000" w:rsidRPr="00000000">
        <w:rPr>
          <w:rFonts w:ascii="Courier" w:cs="Courier" w:eastAsia="Courier" w:hAnsi="Courier"/>
          <w:highlight w:val="white"/>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jc w:val="center"/>
        <w:rPr>
          <w:rFonts w:ascii="Courier" w:cs="Courier" w:eastAsia="Courier" w:hAnsi="Courier"/>
          <w:highlight w:val="white"/>
        </w:rPr>
      </w:pPr>
      <w:r w:rsidDel="00000000" w:rsidR="00000000" w:rsidRPr="00000000">
        <w:rPr>
          <w:rFonts w:ascii="Courier" w:cs="Courier" w:eastAsia="Courier" w:hAnsi="Courier"/>
          <w:highlight w:val="white"/>
          <w:rtl w:val="0"/>
        </w:rPr>
        <w:t xml:space="preserve">  AVAILABLE NOW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tl w:val="0"/>
        </w:rPr>
        <w:br w:type="textWrapping"/>
        <w:t xml:space="preserve">          </w:t>
        <w:br w:type="textWrapping"/>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highlight w:val="whit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tbl>
      <w:tblPr>
        <w:tblStyle w:val="Table1"/>
        <w:tblW w:w="79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1.2"/>
        <w:gridCol w:w="1591.2"/>
        <w:gridCol w:w="1591.2"/>
        <w:gridCol w:w="1591.2"/>
        <w:gridCol w:w="1591.2"/>
        <w:tblGridChange w:id="0">
          <w:tblGrid>
            <w:gridCol w:w="1591.2"/>
            <w:gridCol w:w="1591.2"/>
            <w:gridCol w:w="1591.2"/>
            <w:gridCol w:w="1591.2"/>
            <w:gridCol w:w="1591.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 Info</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Released Date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Now</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WandaVision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Blends the style of classic sitcoms with the MCU, in which Wanda Maximoff and Vision - two super-powered beings living their ideal suburban lives - begin to suspect that everything is not as it seems.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January 15, 2021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Drama, Fantasy, Romance, Science Fiction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Falcon and the Winter Soldier</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Following the events of 'Avengers: Endgame,' Sam Wilson/Falcon and Bucky Barnes/Winter Soldier team up in a global adventure that tests their abilities and their patience.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March 19, 2021</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 Live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Loki</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mercurial villain Loki resumes his role as the God of Mischief in a new series that takes place after the events of “Avengers: Endgame.”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June 9, 2021</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 Fantasy, Science Fiction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What If...?</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Exploring pivotal moments from the Marvel Cinematic Universe and turning them on their head, leading the audience into uncharted territory.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August 11, 2021</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 Animation, Science Fiction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Hawkeye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Series based on the Marvel Comics superhero Hawkeye, centering on the adventures of Young Avengers, Kate Bishop, who took on the role after the original Avenger, Clint Barton.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November 24, 2021</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Moon Knight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Moon Knight follows Steven Grant, a mild-mannered gift-shop employee, who becomes plagued with blackouts and memories of another life. Steven discovers he has dissociative identity disorder and shares a body with mercenary Marc Spector. As Steven/Marc's enemies converge upon them, they must navigate their complex identities while thrust into a deadly mystery among the powerful gods of Egypt.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March 30, 2022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Ms. Marvel</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Kamala is a superhero fan with an imagination, particularly when it comes to Captain Marvel; Kamala feels like she doesn't fit in at school and sometimes even at home, that is until she gets superpowers like the heroes she's looked up to.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June 8, 2022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 Comedy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She-Hulk: Attorney at Law</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Jennifer Walters navigates the complicated life of a single, 30-something attorney who also happens to be a green 6-foot-7-inch superpowered Hulk.</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August 18, 2022</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 Comedy, Science Fiction</w:t>
            </w:r>
          </w:p>
        </w:tc>
      </w:tr>
    </w:tbl>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highlight w:val="white"/>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w:cs="Courier" w:eastAsia="Courier" w:hAnsi="Courier"/>
          <w:highlight w:val="white"/>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jc w:val="center"/>
        <w:rPr>
          <w:rFonts w:ascii="Courier" w:cs="Courier" w:eastAsia="Courier" w:hAnsi="Courier"/>
          <w:highlight w:val="white"/>
        </w:rPr>
      </w:pPr>
      <w:r w:rsidDel="00000000" w:rsidR="00000000" w:rsidRPr="00000000">
        <w:rPr>
          <w:rFonts w:ascii="Courier" w:cs="Courier" w:eastAsia="Courier" w:hAnsi="Courier"/>
          <w:highlight w:val="white"/>
          <w:rtl w:val="0"/>
        </w:rPr>
        <w:t xml:space="preserve"> COMING SOON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tl w:val="0"/>
        </w:rPr>
        <w:br w:type="textWrapping"/>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highlight w:val="white"/>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hyperlink w:anchor="30j0zll">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0" cy="0"/>
                    </a:xfrm>
                    <a:prstGeom prst="rect"/>
                    <a:ln/>
                  </pic:spPr>
                </pic:pic>
              </a:graphicData>
            </a:graphic>
          </wp:inline>
        </w:drawing>
      </w:r>
      <w:hyperlink w:anchor="30j0zll">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0" cy="0"/>
                    </a:xfrm>
                    <a:prstGeom prst="rect"/>
                    <a:ln/>
                  </pic:spPr>
                </pic:pic>
              </a:graphicData>
            </a:graphic>
          </wp:inline>
        </w:drawing>
      </w:r>
      <w:hyperlink w:anchor="1fob9te">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0" cy="0"/>
                    </a:xfrm>
                    <a:prstGeom prst="rect"/>
                    <a:ln/>
                  </pic:spPr>
                </pic:pic>
              </a:graphicData>
            </a:graphic>
          </wp:inline>
        </w:drawing>
      </w:r>
      <w:hyperlink w:anchor="3znysh7">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0" cy="0"/>
                    </a:xfrm>
                    <a:prstGeom prst="rect"/>
                    <a:ln/>
                  </pic:spPr>
                </pic:pic>
              </a:graphicData>
            </a:graphic>
          </wp:inline>
        </w:drawing>
      </w:r>
      <w:hyperlink w:anchor="2et92p0">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0" cy="0"/>
                    </a:xfrm>
                    <a:prstGeom prst="rect"/>
                    <a:ln/>
                  </pic:spPr>
                </pic:pic>
              </a:graphicData>
            </a:graphic>
          </wp:inline>
        </w:drawing>
      </w:r>
      <w:hyperlink w:anchor="tyjcwt">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tbl>
      <w:tblPr>
        <w:tblStyle w:val="Table2"/>
        <w:tblW w:w="79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1.2"/>
        <w:gridCol w:w="1591.2"/>
        <w:gridCol w:w="1591.2"/>
        <w:gridCol w:w="1591.2"/>
        <w:gridCol w:w="1591.2"/>
        <w:tblGridChange w:id="0">
          <w:tblGrid>
            <w:gridCol w:w="1591.2"/>
            <w:gridCol w:w="1591.2"/>
            <w:gridCol w:w="1591.2"/>
            <w:gridCol w:w="1591.2"/>
            <w:gridCol w:w="1591.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 Info</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Released Date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Secret Invasion</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crossover event series showcases a faction of shape-shifting Skrulls who have been infiltrating Earth for years.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Spring 2023</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Action-adventure Spy thriller Superhero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What If…? Season 2</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Exploring pivotal moments from the Marvel Cinematic Universe and turning them on their head, leading the audience into uncharted territory.</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Early 2023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Action-adventure Anthology Science fiction Superhero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Echo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"Echo" revisits Maya Lopez, whose ruthless behavior in New York City catches up with her in her hometown. She must face her past, reconnect with her Native American roots and embrace the meaning of family and community if she ever hopes to move forward.</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Summer 2023</w:t>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 Fantasy, Science Fiction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Loki 2</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Sylvie set off a multiverse war, Loki is stranded in another dimension, and an even more dangerous variant of He Who Remains has come to power. In the new timeline that Loki finds himself trapped in, a statue of Kang The Conqueror is present.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Summer 2023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 Fantasy, Science Fiction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Ironheart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Ironheart stars Dominique Thorne as Riri Williams, a genius inventor who creates the most advanced suit of armor since Iron Man.</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Fall 2023</w:t>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 Fantasy, Science Fiction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Agatha: Coven of Chaos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how Agatha breaks out of the spell she's under and then follow her along on some exciting shenanigans.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Winter 2023</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Dark Comedy , Action, Adventure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Daredevil: Born Again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Matt is back in the hell's kitchen. Kingpin is also back and seeks a revenge. Matt meets his old friends and on his normal daily routine of getting practicing law and is in his daredevil form at night. Kingpin is making plans to take him down and end him forever.</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Spring 2024</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Action, Adventure, Comedy</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6.png"/><Relationship Id="rId21" Type="http://schemas.openxmlformats.org/officeDocument/2006/relationships/image" Target="media/image25.png"/><Relationship Id="rId24" Type="http://schemas.openxmlformats.org/officeDocument/2006/relationships/image" Target="media/image28.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30.png"/><Relationship Id="rId25" Type="http://schemas.openxmlformats.org/officeDocument/2006/relationships/image" Target="media/image29.png"/><Relationship Id="rId28" Type="http://schemas.openxmlformats.org/officeDocument/2006/relationships/image" Target="media/image1.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png"/><Relationship Id="rId7" Type="http://schemas.openxmlformats.org/officeDocument/2006/relationships/hyperlink" Target="http://docs.google.com/Main%20page.html" TargetMode="External"/><Relationship Id="rId8" Type="http://schemas.openxmlformats.org/officeDocument/2006/relationships/hyperlink" Target="http://docs.google.com/reviews.html" TargetMode="External"/><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15.png"/><Relationship Id="rId33" Type="http://schemas.openxmlformats.org/officeDocument/2006/relationships/image" Target="media/image6.png"/><Relationship Id="rId10" Type="http://schemas.openxmlformats.org/officeDocument/2006/relationships/image" Target="media/image12.png"/><Relationship Id="rId32" Type="http://schemas.openxmlformats.org/officeDocument/2006/relationships/image" Target="media/image5.png"/><Relationship Id="rId13" Type="http://schemas.openxmlformats.org/officeDocument/2006/relationships/image" Target="media/image17.png"/><Relationship Id="rId35" Type="http://schemas.openxmlformats.org/officeDocument/2006/relationships/image" Target="media/image8.png"/><Relationship Id="rId12" Type="http://schemas.openxmlformats.org/officeDocument/2006/relationships/image" Target="media/image14.png"/><Relationship Id="rId34" Type="http://schemas.openxmlformats.org/officeDocument/2006/relationships/image" Target="media/image7.png"/><Relationship Id="rId15" Type="http://schemas.openxmlformats.org/officeDocument/2006/relationships/image" Target="media/image20.png"/><Relationship Id="rId37" Type="http://schemas.openxmlformats.org/officeDocument/2006/relationships/image" Target="media/image10.png"/><Relationship Id="rId14" Type="http://schemas.openxmlformats.org/officeDocument/2006/relationships/image" Target="media/image16.png"/><Relationship Id="rId36" Type="http://schemas.openxmlformats.org/officeDocument/2006/relationships/image" Target="media/image9.png"/><Relationship Id="rId17" Type="http://schemas.openxmlformats.org/officeDocument/2006/relationships/image" Target="media/image23.png"/><Relationship Id="rId16" Type="http://schemas.openxmlformats.org/officeDocument/2006/relationships/image" Target="media/image19.png"/><Relationship Id="rId38" Type="http://schemas.openxmlformats.org/officeDocument/2006/relationships/image" Target="media/image18.png"/><Relationship Id="rId19" Type="http://schemas.openxmlformats.org/officeDocument/2006/relationships/image" Target="media/image2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