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исходников Access для полного воспроизведения функционала ПК «ОКО»</w:t>
      </w:r>
    </w:p>
    <w:p>
      <w:r>
        <w:t>Документ подготовлен для направления Заказчику / методологам ПК «ОКО». Описывает, какие материалы уже используются в проекте веб-портала и десктопного приложения «ОКО Заполнение», чего не хватает для 100% понимания логики Access, и что целесообразно запросить.</w:t>
      </w:r>
    </w:p>
    <w:p>
      <w:r>
        <w:t>Дата: июнь 2026</w:t>
      </w:r>
    </w:p>
    <w:p>
      <w:pPr>
        <w:pStyle w:val="Heading1"/>
      </w:pPr>
      <w:r>
        <w:t>1. Что уже есть (выгружается из z261.mdb)</w:t>
      </w:r>
    </w:p>
    <w:p>
      <w:r>
        <w:t>База z261.mdb (пароль 12345) — основной источник метаданных. Скриптами проекта уже переносятся следующие данные: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Данные в MDB</w:t>
            </w:r>
          </w:p>
        </w:tc>
        <w:tc>
          <w:tcPr>
            <w:tcW w:type="dxa" w:w="4320"/>
          </w:tcPr>
          <w:p>
            <w:r>
              <w:t>Куда в проекте</w:t>
            </w:r>
          </w:p>
        </w:tc>
      </w:tr>
      <w:tr>
        <w:tc>
          <w:tcPr>
            <w:tcW w:type="dxa" w:w="4320"/>
          </w:tcPr>
          <w:p>
            <w:r>
              <w:t>a_stblROWs, a_stblFIELDs, FormCorrespondence</w:t>
            </w:r>
          </w:p>
        </w:tc>
        <w:tc>
          <w:tcPr>
            <w:tcW w:type="dxa" w:w="4320"/>
          </w:tcPr>
          <w:p>
            <w:r>
              <w:t>76 схем форм (portal/public/schemas/)</w:t>
            </w:r>
          </w:p>
        </w:tc>
      </w:tr>
      <w:tr>
        <w:tc>
          <w:tcPr>
            <w:tcW w:type="dxa" w:w="4320"/>
          </w:tcPr>
          <w:p>
            <w:r>
              <w:t>a_tblchecks (~3600 правил)</w:t>
            </w:r>
          </w:p>
        </w:tc>
        <w:tc>
          <w:tcPr>
            <w:tcW w:type="dxa" w:w="4320"/>
          </w:tcPr>
          <w:p>
            <w:r>
              <w:t>checks.json</w:t>
            </w:r>
          </w:p>
        </w:tc>
      </w:tr>
      <w:tr>
        <w:tc>
          <w:tcPr>
            <w:tcW w:type="dxa" w:w="4320"/>
          </w:tcPr>
          <w:p>
            <w:r>
              <w:t>a_tblsaldo + FormCorrespondence</w:t>
            </w:r>
          </w:p>
        </w:tc>
        <w:tc>
          <w:tcPr>
            <w:tcW w:type="dxa" w:w="4320"/>
          </w:tcPr>
          <w:p>
            <w:r>
              <w:t>saldo-rules.json, form-correspondence.json</w:t>
            </w:r>
          </w:p>
        </w:tc>
      </w:tr>
      <w:tr>
        <w:tc>
          <w:tcPr>
            <w:tcW w:type="dxa" w:w="4320"/>
          </w:tcPr>
          <w:p>
            <w:r>
              <w:t>sp_rash, sp_rash_addsum</w:t>
            </w:r>
          </w:p>
        </w:tc>
        <w:tc>
          <w:tcPr>
            <w:tcW w:type="dxa" w:w="4320"/>
          </w:tcPr>
          <w:p>
            <w:r>
              <w:t>rash-rules.json</w:t>
            </w:r>
          </w:p>
        </w:tc>
      </w:tr>
      <w:tr>
        <w:tc>
          <w:tcPr>
            <w:tcW w:type="dxa" w:w="4320"/>
          </w:tcPr>
          <w:p>
            <w:r>
              <w:t>sp_kontr, refs</w:t>
            </w:r>
          </w:p>
        </w:tc>
        <w:tc>
          <w:tcPr>
            <w:tcW w:type="dxa" w:w="4320"/>
          </w:tcPr>
          <w:p>
            <w:r>
              <w:t>kontr.json</w:t>
            </w:r>
          </w:p>
        </w:tc>
      </w:tr>
      <w:tr>
        <w:tc>
          <w:tcPr>
            <w:tcW w:type="dxa" w:w="4320"/>
          </w:tcPr>
          <w:p>
            <w:r>
              <w:t>tblExcelExport</w:t>
            </w:r>
          </w:p>
        </w:tc>
        <w:tc>
          <w:tcPr>
            <w:tcW w:type="dxa" w:w="4320"/>
          </w:tcPr>
          <w:p>
            <w:r>
              <w:t>excel-export.json</w:t>
            </w:r>
          </w:p>
        </w:tc>
      </w:tr>
      <w:tr>
        <w:tc>
          <w:tcPr>
            <w:tcW w:type="dxa" w:w="4320"/>
          </w:tcPr>
          <w:p>
            <w:r>
              <w:t>a_tblAgg_List</w:t>
            </w:r>
          </w:p>
        </w:tc>
        <w:tc>
          <w:tcPr>
            <w:tcW w:type="dxa" w:w="4320"/>
          </w:tcPr>
          <w:p>
            <w:r>
              <w:t>agg-list.json</w:t>
            </w:r>
          </w:p>
        </w:tc>
      </w:tr>
      <w:tr>
        <w:tc>
          <w:tcPr>
            <w:tcW w:type="dxa" w:w="4320"/>
          </w:tcPr>
          <w:p>
            <w:r>
              <w:t>FTotal / пересчёт</w:t>
            </w:r>
          </w:p>
        </w:tc>
        <w:tc>
          <w:tcPr>
            <w:tcW w:type="dxa" w:w="4320"/>
          </w:tcPr>
          <w:p>
            <w:r>
              <w:t>recalc-rules.json, row-formulas.json</w:t>
            </w:r>
          </w:p>
        </w:tc>
      </w:tr>
    </w:tbl>
    <w:p/>
    <w:p>
      <w:r>
        <w:t>В папке reference/ проекта также используются: ini20261.ini, txt2026-1KV.TXT, ШаблоныФорм-МинФин.xlsx.</w:t>
      </w:r>
    </w:p>
    <w:p>
      <w:r>
        <w:rPr>
          <w:b/>
        </w:rPr>
        <w:t xml:space="preserve">Вывод: </w:t>
      </w:r>
      <w:r>
        <w:t>для структуры форм и правил увязок достаточно актуального z261.mdb каждого квартала. Для полного поведения программы одной MDB недостаточно.</w:t>
      </w:r>
    </w:p>
    <w:p>
      <w:pPr>
        <w:pStyle w:val="Heading1"/>
      </w:pPr>
      <w:r>
        <w:t>2. Главный пробел: OKO26-1.mde</w:t>
      </w:r>
    </w:p>
    <w:p>
      <w:r>
        <w:t>Приложение скомпилировано (.mde). Исходный VBA недоступен — из бинарника извлекаются только имена форм и процедур, но не алгоритмы.</w:t>
      </w:r>
    </w:p>
    <w:p>
      <w:r>
        <w:t>Из MDB и JSON нельзя точно восстановить:</w:t>
      </w:r>
    </w:p>
    <w:p>
      <w:pPr>
        <w:pStyle w:val="ListBullet"/>
      </w:pPr>
      <w:r>
        <w:t>пошаговые алгоритмы переноса сальдо (особенно исключения и особые случаи);</w:t>
      </w:r>
    </w:p>
    <w:p>
      <w:pPr>
        <w:pStyle w:val="ListBullet"/>
      </w:pPr>
      <w:r>
        <w:t>полный Recalc* (порядок пересчёта, циклы, особые формы);</w:t>
      </w:r>
    </w:p>
    <w:p>
      <w:pPr>
        <w:pStyle w:val="ListBullet"/>
      </w:pPr>
      <w:r>
        <w:t>агрегацию (Aggr*) — свод по подразделениям, частичный приём;</w:t>
      </w:r>
    </w:p>
    <w:p>
      <w:pPr>
        <w:pStyle w:val="ListBullet"/>
      </w:pPr>
      <w:r>
        <w:t>импорт/экспорт «Сохранить на диск» (формат пакета на диск);</w:t>
      </w:r>
    </w:p>
    <w:p>
      <w:pPr>
        <w:pStyle w:val="ListBullet"/>
      </w:pPr>
      <w:r>
        <w:t>сетевой режим (общая MDB, блокировки);</w:t>
      </w:r>
    </w:p>
    <w:p>
      <w:pPr>
        <w:pStyle w:val="ListBullet"/>
      </w:pPr>
      <w:r>
        <w:t>сравнение форм (frmCompare), режим супервизора;</w:t>
      </w:r>
    </w:p>
    <w:p>
      <w:pPr>
        <w:pStyle w:val="ListBullet"/>
      </w:pPr>
      <w:r>
        <w:t>все ветки «Проверка форм» и тексты сообщений;</w:t>
      </w:r>
    </w:p>
    <w:p>
      <w:pPr>
        <w:pStyle w:val="ListBullet"/>
      </w:pPr>
      <w:r>
        <w:t>настройки из tblConfig (56 параметров) — что именно влияет на логику.</w:t>
      </w:r>
    </w:p>
    <w:p>
      <w:r>
        <w:t>Запрашивать у Заказчика следует не исходники VBA (их, как правило, нет), а описания процессов и методические регламенты (см. раздел 3).</w:t>
      </w:r>
    </w:p>
    <w:p>
      <w:pPr>
        <w:pStyle w:val="Heading1"/>
      </w:pPr>
      <w:r>
        <w:t>3. Что запросить у Заказчика</w:t>
      </w:r>
    </w:p>
    <w:p>
      <w:pPr>
        <w:pStyle w:val="Heading2"/>
      </w:pPr>
      <w:r>
        <w:t>3.1. Обязательно — каждый отчётный период</w:t>
      </w:r>
    </w:p>
    <w:p>
      <w:r>
        <w:t>Архив OKO26-k.rar (как в руководстве пользователя), полный комплект: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OKO26-k.mde</w:t>
            </w:r>
          </w:p>
        </w:tc>
        <w:tc>
          <w:tcPr>
            <w:tcW w:type="dxa" w:w="4320"/>
          </w:tcPr>
          <w:p>
            <w:r>
              <w:t>Эталон UI и поведения (для ручной сверки)</w:t>
            </w:r>
          </w:p>
        </w:tc>
      </w:tr>
      <w:tr>
        <w:tc>
          <w:tcPr>
            <w:tcW w:type="dxa" w:w="4320"/>
          </w:tcPr>
          <w:p>
            <w:r>
              <w:t>z26k.mdb</w:t>
            </w:r>
          </w:p>
        </w:tc>
        <w:tc>
          <w:tcPr>
            <w:tcW w:type="dxa" w:w="4320"/>
          </w:tcPr>
          <w:p>
            <w:r>
              <w:t>Актуальные формы, правила, справочники</w:t>
            </w:r>
          </w:p>
        </w:tc>
      </w:tr>
      <w:tr>
        <w:tc>
          <w:tcPr>
            <w:tcW w:type="dxa" w:w="4320"/>
          </w:tcPr>
          <w:p>
            <w:r>
              <w:t>ini2026k.ini</w:t>
            </w:r>
          </w:p>
        </w:tc>
        <w:tc>
          <w:tcPr>
            <w:tcW w:type="dxa" w:w="4320"/>
          </w:tcPr>
          <w:p>
            <w:r>
              <w:t>Пути, бэкап, настройки</w:t>
            </w:r>
          </w:p>
        </w:tc>
      </w:tr>
      <w:tr>
        <w:tc>
          <w:tcPr>
            <w:tcW w:type="dxa" w:w="4320"/>
          </w:tcPr>
          <w:p>
            <w:r>
              <w:t>txt2026k*.TXT</w:t>
            </w:r>
          </w:p>
        </w:tc>
        <w:tc>
          <w:tcPr>
            <w:tcW w:type="dxa" w:w="4320"/>
          </w:tcPr>
          <w:p>
            <w:r>
              <w:t>Руководство пользователя за этот квартал</w:t>
            </w:r>
          </w:p>
        </w:tc>
      </w:tr>
    </w:tbl>
    <w:p/>
    <w:p>
      <w:r>
        <w:t>Без свежего MDB после обновления методологами портал и десктоп отстанут от эталона.</w:t>
      </w:r>
    </w:p>
    <w:p>
      <w:pPr>
        <w:pStyle w:val="Heading2"/>
      </w:pPr>
      <w:r>
        <w:t>3.2. Документация (один раз + обновления)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запросить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Полное руководство (не только txt, а PDF/Word из «Справка» в Access)</w:t>
            </w:r>
          </w:p>
        </w:tc>
        <w:tc>
          <w:tcPr>
            <w:tcW w:type="dxa" w:w="4320"/>
          </w:tcPr>
          <w:p>
            <w:r>
              <w:t>Все сценарии: админ, сальдо, проверки, экспорт</w:t>
            </w:r>
          </w:p>
        </w:tc>
      </w:tr>
      <w:tr>
        <w:tc>
          <w:tcPr>
            <w:tcW w:type="dxa" w:w="4320"/>
          </w:tcPr>
          <w:p>
            <w:r>
              <w:t>Методические письма / изменения к кварталу</w:t>
            </w:r>
          </w:p>
        </w:tc>
        <w:tc>
          <w:tcPr>
            <w:tcW w:type="dxa" w:w="4320"/>
          </w:tcPr>
          <w:p>
            <w:r>
              <w:t>Пороги расшифровок, новые формы, исключения</w:t>
            </w:r>
          </w:p>
        </w:tc>
      </w:tr>
      <w:tr>
        <w:tc>
          <w:tcPr>
            <w:tcW w:type="dxa" w:w="4320"/>
          </w:tcPr>
          <w:p>
            <w:r>
              <w:t>Описание «Сохранить на диск»</w:t>
            </w:r>
          </w:p>
        </w:tc>
        <w:tc>
          <w:tcPr>
            <w:tcW w:type="dxa" w:w="4320"/>
          </w:tcPr>
          <w:p>
            <w:r>
              <w:t>Формат файла для обмена филиал ↔ ЦО</w:t>
            </w:r>
          </w:p>
        </w:tc>
      </w:tr>
      <w:tr>
        <w:tc>
          <w:tcPr>
            <w:tcW w:type="dxa" w:w="4320"/>
          </w:tcPr>
          <w:p>
            <w:r>
              <w:t>Регламент агрегации</w:t>
            </w:r>
          </w:p>
        </w:tc>
        <w:tc>
          <w:tcPr>
            <w:tcW w:type="dxa" w:w="4320"/>
          </w:tcPr>
          <w:p>
            <w:r>
              <w:t>frmAggrMain, frmAggrCfg, a_tblAgg_List — кто кого сводит</w:t>
            </w:r>
          </w:p>
        </w:tc>
      </w:tr>
      <w:tr>
        <w:tc>
          <w:tcPr>
            <w:tcW w:type="dxa" w:w="4320"/>
          </w:tcPr>
          <w:p>
            <w:r>
              <w:t>Регламент сетевого режима</w:t>
            </w:r>
          </w:p>
        </w:tc>
        <w:tc>
          <w:tcPr>
            <w:tcW w:type="dxa" w:w="4320"/>
          </w:tcPr>
          <w:p>
            <w:r>
              <w:t>Как в оригинале работают несколько пользователей на одной MDB</w:t>
            </w:r>
          </w:p>
        </w:tc>
      </w:tr>
      <w:tr>
        <w:tc>
          <w:tcPr>
            <w:tcW w:type="dxa" w:w="4320"/>
          </w:tcPr>
          <w:p>
            <w:r>
              <w:t>Список настроек tblConfig</w:t>
            </w:r>
          </w:p>
        </w:tc>
        <w:tc>
          <w:tcPr>
            <w:tcW w:type="dxa" w:w="4320"/>
          </w:tcPr>
          <w:p>
            <w:r>
              <w:t>Расшифровка всех ConfigName / ConfigValue</w:t>
            </w:r>
          </w:p>
        </w:tc>
      </w:tr>
      <w:tr>
        <w:tc>
          <w:tcPr>
            <w:tcW w:type="dxa" w:w="4320"/>
          </w:tcPr>
          <w:p>
            <w:r>
              <w:t>Тексты F1 по формам</w:t>
            </w:r>
          </w:p>
        </w:tc>
        <w:tc>
          <w:tcPr>
            <w:tcW w:type="dxa" w:w="4320"/>
          </w:tcPr>
          <w:p>
            <w:r>
              <w:t>«Настройки переноса сальдо», увязки по форме</w:t>
            </w:r>
          </w:p>
        </w:tc>
      </w:tr>
    </w:tbl>
    <w:p/>
    <w:p>
      <w:pPr>
        <w:pStyle w:val="Heading2"/>
      </w:pPr>
      <w:r>
        <w:t>3.3. Эталонные данные для сверки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запросить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Заполненный z261.mdb (обезличенный тестовый комплект)</w:t>
            </w:r>
          </w:p>
        </w:tc>
        <w:tc>
          <w:tcPr>
            <w:tcW w:type="dxa" w:w="4320"/>
          </w:tcPr>
          <w:p>
            <w:r>
              <w:t>Сверка пересчёта, сальдо, проверок, экспорта</w:t>
            </w:r>
          </w:p>
        </w:tc>
      </w:tr>
      <w:tr>
        <w:tc>
          <w:tcPr>
            <w:tcW w:type="dxa" w:w="4320"/>
          </w:tcPr>
          <w:p>
            <w:r>
              <w:t>Пара MDB: прошлый период + текущий</w:t>
            </w:r>
          </w:p>
        </w:tc>
        <w:tc>
          <w:tcPr>
            <w:tcW w:type="dxa" w:w="4320"/>
          </w:tcPr>
          <w:p>
            <w:r>
              <w:t>Проверка переноса сальдо</w:t>
            </w:r>
          </w:p>
        </w:tc>
      </w:tr>
      <w:tr>
        <w:tc>
          <w:tcPr>
            <w:tcW w:type="dxa" w:w="4320"/>
          </w:tcPr>
          <w:p>
            <w:r>
              <w:t>Файл после «Сохранить на диск» + тот же комплект в MDB</w:t>
            </w:r>
          </w:p>
        </w:tc>
        <w:tc>
          <w:tcPr>
            <w:tcW w:type="dxa" w:w="4320"/>
          </w:tcPr>
          <w:p>
            <w:r>
              <w:t>Сверка JSON-экспорта с legacy-форматом</w:t>
            </w:r>
          </w:p>
        </w:tc>
      </w:tr>
      <w:tr>
        <w:tc>
          <w:tcPr>
            <w:tcW w:type="dxa" w:w="4320"/>
          </w:tcPr>
          <w:p>
            <w:r>
              <w:t>Пример приёма комплекта в ЦО</w:t>
            </w:r>
          </w:p>
        </w:tc>
        <w:tc>
          <w:tcPr>
            <w:tcW w:type="dxa" w:w="4320"/>
          </w:tcPr>
          <w:p>
            <w:r>
              <w:t>Как головная организация принимает отчётность</w:t>
            </w:r>
          </w:p>
        </w:tc>
      </w:tr>
    </w:tbl>
    <w:p/>
    <w:p>
      <w:pPr>
        <w:pStyle w:val="Heading2"/>
      </w:pPr>
      <w:r>
        <w:t>3.4. Excel и печать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запросить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ШаблоныФорм-МинФин.xlsx (актуальный от методологов)</w:t>
            </w:r>
          </w:p>
        </w:tc>
        <w:tc>
          <w:tcPr>
            <w:tcW w:type="dxa" w:w="4320"/>
          </w:tcPr>
          <w:p>
            <w:r>
              <w:t>Сверка с tblExcelExport и экспортом Excel</w:t>
            </w:r>
          </w:p>
        </w:tc>
      </w:tr>
      <w:tr>
        <w:tc>
          <w:tcPr>
            <w:tcW w:type="dxa" w:w="4320"/>
          </w:tcPr>
          <w:p>
            <w:r>
              <w:t>Образцы заполненных Excel/PDF по ключевым формам</w:t>
            </w:r>
          </w:p>
        </w:tc>
        <w:tc>
          <w:tcPr>
            <w:tcW w:type="dxa" w:w="4320"/>
          </w:tcPr>
          <w:p>
            <w:r>
              <w:t>Визуальная приёмка выгрузки</w:t>
            </w:r>
          </w:p>
        </w:tc>
      </w:tr>
    </w:tbl>
    <w:p/>
    <w:p>
      <w:pPr>
        <w:pStyle w:val="Heading2"/>
      </w:pPr>
      <w:r>
        <w:t>3.5. Справочники и расшифровки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запросить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Правила фильтра «Показать» в справочнике контрагентов по формам</w:t>
            </w:r>
          </w:p>
        </w:tc>
        <w:tc>
          <w:tcPr>
            <w:tcW w:type="dxa" w:w="4320"/>
          </w:tcPr>
          <w:p>
            <w:r>
              <w:t>Логика «только внутригрупповые» задана в VBA</w:t>
            </w:r>
          </w:p>
        </w:tc>
      </w:tr>
      <w:tr>
        <w:tc>
          <w:tcPr>
            <w:tcW w:type="dxa" w:w="4320"/>
          </w:tcPr>
          <w:p>
            <w:r>
              <w:t>Список «обяз.расшифровка» и пороги 1 тыс. / 5 млн / 50 млн</w:t>
            </w:r>
          </w:p>
        </w:tc>
        <w:tc>
          <w:tcPr>
            <w:tcW w:type="dxa" w:w="4320"/>
          </w:tcPr>
          <w:p>
            <w:r>
              <w:t>Подтверждение правил rash</w:t>
            </w:r>
          </w:p>
        </w:tc>
      </w:tr>
      <w:tr>
        <w:tc>
          <w:tcPr>
            <w:tcW w:type="dxa" w:w="4320"/>
          </w:tcPr>
          <w:p>
            <w:r>
              <w:t>Процедура обновления контрагентов (внутригрупповые vs внешние)</w:t>
            </w:r>
          </w:p>
        </w:tc>
        <w:tc>
          <w:tcPr>
            <w:tcW w:type="dxa" w:w="4320"/>
          </w:tcPr>
          <w:p>
            <w:r>
              <w:t>Для админки и десктопа</w:t>
            </w:r>
          </w:p>
        </w:tc>
      </w:tr>
    </w:tbl>
    <w:p/>
    <w:p>
      <w:pPr>
        <w:pStyle w:val="Heading2"/>
      </w:pPr>
      <w:r>
        <w:t>3.6. Для десктопа «ОКО Заполнение»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запросить</w:t>
            </w:r>
          </w:p>
        </w:tc>
        <w:tc>
          <w:tcPr>
            <w:tcW w:type="dxa" w:w="4320"/>
          </w:tcPr>
          <w:p>
            <w:r>
              <w:t>Зачем</w:t>
            </w:r>
          </w:p>
        </w:tc>
      </w:tr>
      <w:tr>
        <w:tc>
          <w:tcPr>
            <w:tcW w:type="dxa" w:w="4320"/>
          </w:tcPr>
          <w:p>
            <w:r>
              <w:t>Описание ролей: координатор, исполнитель, назначение форм</w:t>
            </w:r>
          </w:p>
        </w:tc>
        <w:tc>
          <w:tcPr>
            <w:tcW w:type="dxa" w:w="4320"/>
          </w:tcPr>
          <w:p>
            <w:r>
              <w:t>Сверка с PIN, assignments, авторизацией</w:t>
            </w:r>
          </w:p>
        </w:tc>
      </w:tr>
      <w:tr>
        <w:tc>
          <w:tcPr>
            <w:tcW w:type="dxa" w:w="4320"/>
          </w:tcPr>
          <w:p>
            <w:r>
              <w:t>Сценарий «зависшая ячейка / обрыв сети» в оригинале</w:t>
            </w:r>
          </w:p>
        </w:tc>
        <w:tc>
          <w:tcPr>
            <w:tcW w:type="dxa" w:w="4320"/>
          </w:tcPr>
          <w:p>
            <w:r>
              <w:t>Сверка presence и снятия блокировок</w:t>
            </w:r>
          </w:p>
        </w:tc>
      </w:tr>
      <w:tr>
        <w:tc>
          <w:tcPr>
            <w:tcW w:type="dxa" w:w="4320"/>
          </w:tcPr>
          <w:p>
            <w:r>
              <w:t>Требования к бэкапу и экспорту в ЦО</w:t>
            </w:r>
          </w:p>
        </w:tc>
        <w:tc>
          <w:tcPr>
            <w:tcW w:type="dxa" w:w="4320"/>
          </w:tcPr>
          <w:p>
            <w:r>
              <w:t>Приёмка обмена с порталом</w:t>
            </w:r>
          </w:p>
        </w:tc>
      </w:tr>
    </w:tbl>
    <w:p/>
    <w:p>
      <w:pPr>
        <w:pStyle w:val="Heading1"/>
      </w:pPr>
      <w:r>
        <w:t>4. Что запрашивать не обязательно</w:t>
      </w:r>
    </w:p>
    <w:p>
      <w:pPr>
        <w:pStyle w:val="ListBullet"/>
      </w:pPr>
      <w:r>
        <w:t>Исходники VBA из .mde — практически нереально получить.</w:t>
      </w:r>
    </w:p>
    <w:p>
      <w:pPr>
        <w:pStyle w:val="ListBullet"/>
      </w:pPr>
      <w:r>
        <w:t>Все 126 форм frm_* — в отчётности используются 76 шаблонов; остальное — подформы и служебные экраны.</w:t>
      </w:r>
    </w:p>
    <w:p>
      <w:pPr>
        <w:pStyle w:val="ListBullet"/>
      </w:pPr>
      <w:r>
        <w:t>Доступ к production-серверам ЦО — для функционала Access достаточно MDB, документации и тестовых комплектов.</w:t>
      </w:r>
    </w:p>
    <w:p>
      <w:pPr>
        <w:pStyle w:val="Heading1"/>
      </w:pPr>
      <w:r>
        <w:t>5. Готовый текст для письма Заказчику</w:t>
      </w:r>
    </w:p>
    <w:p>
      <w:r>
        <w:t>Ниже текст можно направить методологам / владельцам ПК «ОКО» почти без изменений:</w:t>
      </w:r>
    </w:p>
    <w:p>
      <w:r>
        <w:t>Для завершения веб-портала и десктопного «ОКО Заполнение» просим направить:</w:t>
        <w:br/>
        <w:br/>
        <w:t>1. Актуальный архив OKO26-k.rar (mde, mdb, ini, руководство txt/PDF) на отчётный период.</w:t>
        <w:br/>
        <w:t>2. Методические письма и перечень изменений правил/форм за квартал.</w:t>
        <w:br/>
        <w:t>3. Полное руководство пользователя и администратора (включая справку F1 по формам и переносу сальдо).</w:t>
        <w:br/>
        <w:t>4. Описание формата файла при операции «Сохранить на диск» и регламент приёма в головной организации.</w:t>
        <w:br/>
        <w:t>5. Тестовый заполненный комплект z261.mdb (можно обезличенный) и пара файлов «прошлый период + текущий» для проверки переноса сальдо.</w:t>
        <w:br/>
        <w:t>6. Актуальный ШаблоныФорм-МинФин.xlsx и примеры выгрузки в Excel.</w:t>
        <w:br/>
        <w:t>7. Расшифровку настроек tblConfig и регламент агрегации по подразделениям (a_tblAgg_List).</w:t>
        <w:br/>
        <w:t>8. Уточнения по фильтрам справочника контрагентов и порогам расшифровок по типам контрагентов.</w:t>
      </w:r>
    </w:p>
    <w:p>
      <w:pPr>
        <w:pStyle w:val="Heading1"/>
      </w:pPr>
      <w:r>
        <w:t>6. Краткий итог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 понимания</w:t>
            </w:r>
          </w:p>
        </w:tc>
        <w:tc>
          <w:tcPr>
            <w:tcW w:type="dxa" w:w="4320"/>
          </w:tcPr>
          <w:p>
            <w:r>
              <w:t>Достаточно</w:t>
            </w:r>
          </w:p>
        </w:tc>
      </w:tr>
      <w:tr>
        <w:tc>
          <w:tcPr>
            <w:tcW w:type="dxa" w:w="4320"/>
          </w:tcPr>
          <w:p>
            <w:r>
              <w:t>Формы, колонки, строки, ~3600 увязок</w:t>
            </w:r>
          </w:p>
        </w:tc>
        <w:tc>
          <w:tcPr>
            <w:tcW w:type="dxa" w:w="4320"/>
          </w:tcPr>
          <w:p>
            <w:r>
              <w:t>z261.mdb + скрипты выгрузки</w:t>
            </w:r>
          </w:p>
        </w:tc>
      </w:tr>
      <w:tr>
        <w:tc>
          <w:tcPr>
            <w:tcW w:type="dxa" w:w="4320"/>
          </w:tcPr>
          <w:p>
            <w:r>
              <w:t>Пересчёт, сальдо, rash, Excel-маппинг</w:t>
            </w:r>
          </w:p>
        </w:tc>
        <w:tc>
          <w:tcPr>
            <w:tcW w:type="dxa" w:w="4320"/>
          </w:tcPr>
          <w:p>
            <w:r>
              <w:t>MDB + сверка на тестовых данных</w:t>
            </w:r>
          </w:p>
        </w:tc>
      </w:tr>
      <w:tr>
        <w:tc>
          <w:tcPr>
            <w:tcW w:type="dxa" w:w="4320"/>
          </w:tcPr>
          <w:p>
            <w:r>
              <w:t>100% поведение как в Access</w:t>
            </w:r>
          </w:p>
        </w:tc>
        <w:tc>
          <w:tcPr>
            <w:tcW w:type="dxa" w:w="4320"/>
          </w:tcPr>
          <w:p>
            <w:r>
              <w:t>руководства, регламенты, тестовые комплекты, формат обмена</w:t>
            </w:r>
          </w:p>
        </w:tc>
      </w:tr>
      <w:tr>
        <w:tc>
          <w:tcPr>
            <w:tcW w:type="dxa" w:w="4320"/>
          </w:tcPr>
          <w:p>
            <w:r>
              <w:t>Скрытая логика VBA</w:t>
            </w:r>
          </w:p>
        </w:tc>
        <w:tc>
          <w:tcPr>
            <w:tcW w:type="dxa" w:w="4320"/>
          </w:tcPr>
          <w:p>
            <w:r>
              <w:t>описание от методологов, не reverse .mde</w:t>
            </w:r>
          </w:p>
        </w:tc>
      </w:tr>
    </w:tbl>
    <w:p/>
    <w:p/>
    <w:p>
      <w:r>
        <w:t>Проект: OKO (веб-портал + десктоп «ОКО Заполнение»).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