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745" w:rsidRDefault="00F7401E" w:rsidP="00F7401E">
      <w:pPr>
        <w:jc w:val="center"/>
        <w:rPr>
          <w:rFonts w:ascii="Arial Black" w:hAnsi="Arial Black"/>
          <w:sz w:val="36"/>
          <w:szCs w:val="36"/>
        </w:rPr>
      </w:pPr>
      <w:r>
        <w:rPr>
          <w:rFonts w:ascii="Arial Black" w:hAnsi="Arial Black"/>
          <w:sz w:val="36"/>
          <w:szCs w:val="36"/>
        </w:rPr>
        <w:t>LOS DEPENDIENTES</w:t>
      </w:r>
    </w:p>
    <w:p w:rsidR="00F7401E" w:rsidRDefault="00F7401E" w:rsidP="00F7401E">
      <w:pPr>
        <w:rPr>
          <w:rFonts w:ascii="Arial" w:hAnsi="Arial" w:cs="Arial"/>
          <w:sz w:val="24"/>
          <w:szCs w:val="24"/>
        </w:rPr>
      </w:pPr>
      <w:r>
        <w:rPr>
          <w:rFonts w:ascii="Arial" w:hAnsi="Arial" w:cs="Arial"/>
          <w:sz w:val="24"/>
          <w:szCs w:val="24"/>
        </w:rPr>
        <w:t>Las conquistas de Filipo II de Macedonia tuvieron en parte como objetivo permitir que se anexionara a sus cuerpos autóctonos unos auxiliares belicosos, como los montañeros de Peonia y de Patagonia. Después de Gaugamela, en el ejército de su hijo se hicieron cada vez más numerosos los súbditos asiáticos. Los selyúcitas acabarían por incluir la mitad de indígenas entre sus soldados.</w:t>
      </w:r>
    </w:p>
    <w:p w:rsidR="00F7401E" w:rsidRDefault="00F7401E" w:rsidP="00F7401E">
      <w:pPr>
        <w:jc w:val="both"/>
        <w:rPr>
          <w:rFonts w:ascii="Arial" w:hAnsi="Arial" w:cs="Arial"/>
          <w:sz w:val="24"/>
          <w:szCs w:val="24"/>
        </w:rPr>
      </w:pPr>
      <w:r>
        <w:rPr>
          <w:rFonts w:ascii="Arial" w:hAnsi="Arial" w:cs="Arial"/>
          <w:sz w:val="24"/>
          <w:szCs w:val="24"/>
        </w:rPr>
        <w:t xml:space="preserve">En cuanto a Roma, siempre equilibraría sus fuerzas legionarias con un número igual do combatientes no romanos tomados de las etnias subyugadas. La caballería y la infantería de los aliados italianos de la República tendrían como herederos las alas montadas, las cortes de soldados de a pie, y más tardíamente los numeró el imperio, precedentes de todo el contorno mediterráneo. </w:t>
      </w:r>
    </w:p>
    <w:p w:rsidR="00F7401E" w:rsidRDefault="00F7401E" w:rsidP="00F7401E">
      <w:pPr>
        <w:jc w:val="right"/>
        <w:rPr>
          <w:rFonts w:ascii="Arial" w:hAnsi="Arial" w:cs="Arial"/>
          <w:sz w:val="24"/>
          <w:szCs w:val="24"/>
        </w:rPr>
      </w:pPr>
      <w:r>
        <w:rPr>
          <w:rFonts w:ascii="Arial" w:hAnsi="Arial" w:cs="Arial"/>
          <w:sz w:val="24"/>
          <w:szCs w:val="24"/>
        </w:rPr>
        <w:t>También ocurrió que se llegó a sobrepasar el marco banal de los pueblos sometidos.</w:t>
      </w:r>
      <w:r w:rsidR="00B419DB">
        <w:rPr>
          <w:rFonts w:ascii="Arial" w:hAnsi="Arial" w:cs="Arial"/>
          <w:sz w:val="24"/>
          <w:szCs w:val="24"/>
        </w:rPr>
        <w:t xml:space="preserve"> Los asirios de abastecimiento en gentes de a partir de ciertos núcleos de población que</w:t>
      </w:r>
      <w:r>
        <w:rPr>
          <w:rFonts w:ascii="Arial" w:hAnsi="Arial" w:cs="Arial"/>
          <w:sz w:val="24"/>
          <w:szCs w:val="24"/>
        </w:rPr>
        <w:t xml:space="preserve"> </w:t>
      </w:r>
      <w:r w:rsidR="00B419DB">
        <w:rPr>
          <w:rFonts w:ascii="Arial" w:hAnsi="Arial" w:cs="Arial"/>
          <w:sz w:val="24"/>
          <w:szCs w:val="24"/>
        </w:rPr>
        <w:t>habías desplazado –este término es técnicamente más correcto que deportado – de una región a otra de sus tierras dominadas.</w:t>
      </w:r>
    </w:p>
    <w:p w:rsidR="00B419DB" w:rsidRDefault="00B419DB" w:rsidP="00B419DB">
      <w:pPr>
        <w:jc w:val="center"/>
        <w:rPr>
          <w:rFonts w:ascii="Arial" w:hAnsi="Arial" w:cs="Arial"/>
          <w:sz w:val="24"/>
          <w:szCs w:val="24"/>
        </w:rPr>
      </w:pPr>
      <w:r>
        <w:rPr>
          <w:rFonts w:ascii="Arial" w:hAnsi="Arial" w:cs="Arial"/>
          <w:sz w:val="24"/>
          <w:szCs w:val="24"/>
        </w:rPr>
        <w:t>El Egipto del Nuevo Imperio formaría de una manera masiva unidades de choque con prisioneros marcados al rojo – negros, sirio-palestino, libros, hombres de los Pueblos del mar, y especialmente los célebres sardianos, de cascos cornudos-. Ptolomeo I hizo también suya una práctica de Antiguo Egipto al construir unas tropas de fortines con cautivos judíos traídos de una campaña asiática.</w:t>
      </w:r>
    </w:p>
    <w:p w:rsidR="00B419DB" w:rsidRDefault="00B419DB">
      <w:pPr>
        <w:rPr>
          <w:rFonts w:ascii="Arial" w:hAnsi="Arial" w:cs="Arial"/>
          <w:sz w:val="24"/>
          <w:szCs w:val="24"/>
        </w:rPr>
      </w:pPr>
      <w:r>
        <w:rPr>
          <w:rFonts w:ascii="Arial" w:hAnsi="Arial" w:cs="Arial"/>
          <w:sz w:val="24"/>
          <w:szCs w:val="24"/>
        </w:rPr>
        <w:br w:type="page"/>
      </w:r>
    </w:p>
    <w:p w:rsidR="00B419DB" w:rsidRPr="00EB4EE6" w:rsidRDefault="00B419DB" w:rsidP="00B419DB">
      <w:pPr>
        <w:spacing w:line="336" w:lineRule="auto"/>
        <w:ind w:left="567" w:firstLine="709"/>
        <w:jc w:val="center"/>
        <w:rPr>
          <w:rFonts w:ascii="Arial" w:hAnsi="Arial" w:cs="Arial"/>
          <w:b/>
          <w:i/>
          <w:u w:val="single"/>
        </w:rPr>
      </w:pPr>
      <w:r w:rsidRPr="00EB4EE6">
        <w:rPr>
          <w:rFonts w:ascii="Arial" w:hAnsi="Arial" w:cs="Arial"/>
          <w:b/>
          <w:i/>
          <w:u w:val="single"/>
        </w:rPr>
        <w:lastRenderedPageBreak/>
        <w:t>DERECHOS HUMANOS</w:t>
      </w:r>
    </w:p>
    <w:p w:rsidR="00EB4EE6" w:rsidRDefault="00EB4EE6" w:rsidP="00EB4EE6">
      <w:pPr>
        <w:spacing w:line="336" w:lineRule="auto"/>
        <w:ind w:left="567" w:firstLine="709"/>
        <w:jc w:val="both"/>
        <w:rPr>
          <w:rFonts w:ascii="Arial" w:hAnsi="Arial" w:cs="Arial"/>
        </w:rPr>
      </w:pPr>
      <w:r>
        <w:rPr>
          <w:rFonts w:ascii="Arial" w:hAnsi="Arial" w:cs="Arial"/>
        </w:rPr>
        <w:t xml:space="preserve">Se dice que uno de los secretos de la Familia Real Inglesa es que en ella cada uno de sus miembros desempeña un papel y una función. Vosotros, quizás sin saberlo, también tenéis un secreto: un conjunto hecho de individualidades irrepetibles. Un conjunto prudente que, ante el riesgo de éxito (que embriaga y hace perder el sentido de la medida), habéis tenido el talento de dar entrada entre vosotros a un profesor cincuentón a fin de añadir un poco de agua a vuestro buen vino: generosamente habéis estimado que puedo </w:t>
      </w:r>
      <w:r w:rsidR="0006052F">
        <w:rPr>
          <w:rFonts w:ascii="Arial" w:hAnsi="Arial" w:cs="Arial"/>
        </w:rPr>
        <w:t>ser</w:t>
      </w:r>
      <w:r>
        <w:rPr>
          <w:rFonts w:ascii="Arial" w:hAnsi="Arial" w:cs="Arial"/>
        </w:rPr>
        <w:t xml:space="preserve"> uno de vosotros, sin desentonar excesivamente. Recibo tan gran honor, no como una </w:t>
      </w:r>
      <w:r>
        <w:rPr>
          <w:rFonts w:ascii="Arial" w:hAnsi="Arial" w:cs="Arial"/>
          <w:b/>
          <w:i/>
        </w:rPr>
        <w:t xml:space="preserve">fictio luris, </w:t>
      </w:r>
      <w:r>
        <w:rPr>
          <w:rFonts w:ascii="Arial" w:hAnsi="Arial" w:cs="Arial"/>
        </w:rPr>
        <w:t xml:space="preserve">ni siquiera como presunción </w:t>
      </w:r>
      <w:r>
        <w:rPr>
          <w:rFonts w:ascii="Arial" w:hAnsi="Arial" w:cs="Arial"/>
          <w:b/>
          <w:i/>
        </w:rPr>
        <w:t>luris et de lure</w:t>
      </w:r>
      <w:r>
        <w:rPr>
          <w:rFonts w:ascii="Arial" w:hAnsi="Arial" w:cs="Arial"/>
        </w:rPr>
        <w:t xml:space="preserve"> sino como presunción luris tamtum, </w:t>
      </w:r>
      <w:r w:rsidR="002F7610">
        <w:rPr>
          <w:rFonts w:ascii="Arial" w:hAnsi="Arial" w:cs="Arial"/>
        </w:rPr>
        <w:t xml:space="preserve">susceptible por tanto de prueba en contrario. El </w:t>
      </w:r>
      <w:r w:rsidR="002F7610" w:rsidRPr="002F7610">
        <w:rPr>
          <w:rFonts w:ascii="Arial" w:hAnsi="Arial" w:cs="Arial"/>
          <w:b/>
          <w:i/>
        </w:rPr>
        <w:t>“luris”</w:t>
      </w:r>
      <w:r w:rsidR="002F7610">
        <w:rPr>
          <w:rFonts w:ascii="Arial" w:hAnsi="Arial" w:cs="Arial"/>
          <w:b/>
          <w:i/>
        </w:rPr>
        <w:t xml:space="preserve"> </w:t>
      </w:r>
      <w:r w:rsidR="002F7610">
        <w:rPr>
          <w:rFonts w:ascii="Arial" w:hAnsi="Arial" w:cs="Arial"/>
        </w:rPr>
        <w:t>os habla ahora no con intención probatoria, sino con el alma llena de gratitud.</w:t>
      </w:r>
    </w:p>
    <w:p w:rsidR="00503B28" w:rsidRDefault="00503B28" w:rsidP="00503B28">
      <w:pPr>
        <w:spacing w:line="336" w:lineRule="auto"/>
        <w:ind w:right="851" w:firstLine="1276"/>
        <w:jc w:val="both"/>
        <w:rPr>
          <w:rFonts w:ascii="Arial" w:hAnsi="Arial" w:cs="Arial"/>
        </w:rPr>
      </w:pPr>
      <w:r>
        <w:rPr>
          <w:rFonts w:ascii="Arial" w:hAnsi="Arial" w:cs="Arial"/>
        </w:rPr>
        <w:t xml:space="preserve">El pasado 10 de noviembre, en un acto íntimo </w:t>
      </w:r>
      <w:r w:rsidR="0006052F">
        <w:rPr>
          <w:rFonts w:ascii="Arial" w:hAnsi="Arial" w:cs="Arial"/>
        </w:rPr>
        <w:t>del</w:t>
      </w:r>
      <w:r>
        <w:rPr>
          <w:rFonts w:ascii="Arial" w:hAnsi="Arial" w:cs="Arial"/>
        </w:rPr>
        <w:t xml:space="preserve"> Aula A de nuestra Facultad, me recibisteis entre vosotros; se cumplía así vuestro acuerdo del 14 de diciembre de 1991.</w:t>
      </w:r>
    </w:p>
    <w:p w:rsidR="008641FC" w:rsidRDefault="00503B28" w:rsidP="00503B28">
      <w:pPr>
        <w:spacing w:line="336" w:lineRule="auto"/>
        <w:ind w:left="709" w:right="567" w:hanging="709"/>
        <w:jc w:val="both"/>
        <w:rPr>
          <w:rFonts w:ascii="Arial" w:hAnsi="Arial" w:cs="Arial"/>
        </w:rPr>
      </w:pPr>
      <w:r>
        <w:rPr>
          <w:rFonts w:ascii="Arial" w:hAnsi="Arial" w:cs="Arial"/>
        </w:rPr>
        <w:t xml:space="preserve">Poco antes, en septiembre de ese año de 1991, había yo tomado una decisión que marcaba el comienzo de una nueva etapa de mi vida; </w:t>
      </w:r>
      <w:r w:rsidR="008641FC">
        <w:rPr>
          <w:rFonts w:ascii="Arial" w:hAnsi="Arial" w:cs="Arial"/>
        </w:rPr>
        <w:t>había</w:t>
      </w:r>
      <w:r>
        <w:rPr>
          <w:rFonts w:ascii="Arial" w:hAnsi="Arial" w:cs="Arial"/>
        </w:rPr>
        <w:t xml:space="preserve"> renunciado a mis funciones de magistrado en el Tribunal Europeo de Derechos Humanos. ¿Por qué? Pues porque quería recuperar mi vida personal y de familia –dos derechos fundamentales reconocidos en el Convenio Europeo de Derechos Humanos- y </w:t>
      </w:r>
      <w:r w:rsidR="008641FC">
        <w:rPr>
          <w:rFonts w:ascii="Arial" w:hAnsi="Arial" w:cs="Arial"/>
        </w:rPr>
        <w:t>porque quería también recuperar totalmente mi vocación universitaria.</w:t>
      </w:r>
    </w:p>
    <w:p w:rsidR="008641FC" w:rsidRDefault="008641FC">
      <w:pPr>
        <w:rPr>
          <w:rFonts w:ascii="Arial" w:hAnsi="Arial" w:cs="Arial"/>
        </w:rPr>
      </w:pPr>
      <w:r>
        <w:rPr>
          <w:rFonts w:ascii="Arial" w:hAnsi="Arial" w:cs="Arial"/>
        </w:rPr>
        <w:br w:type="page"/>
      </w:r>
    </w:p>
    <w:p w:rsidR="00503B28" w:rsidRDefault="008641FC" w:rsidP="008641FC">
      <w:pPr>
        <w:spacing w:line="336" w:lineRule="auto"/>
        <w:ind w:left="709" w:right="567" w:hanging="709"/>
        <w:jc w:val="center"/>
        <w:rPr>
          <w:rFonts w:ascii="Arrus BT" w:hAnsi="Arrus BT" w:cs="Arial"/>
          <w:b/>
          <w:smallCaps/>
          <w:sz w:val="50"/>
          <w:szCs w:val="50"/>
        </w:rPr>
      </w:pPr>
      <w:r>
        <w:rPr>
          <w:rFonts w:ascii="Arrus BT" w:hAnsi="Arrus BT" w:cs="Arial"/>
          <w:b/>
          <w:smallCaps/>
          <w:sz w:val="50"/>
          <w:szCs w:val="50"/>
        </w:rPr>
        <w:lastRenderedPageBreak/>
        <w:t>Los Cuarenta Y Siete Ronin</w:t>
      </w:r>
    </w:p>
    <w:p w:rsidR="008641FC" w:rsidRDefault="008641FC" w:rsidP="008641FC">
      <w:pPr>
        <w:spacing w:line="336" w:lineRule="auto"/>
        <w:ind w:left="709" w:right="567" w:hanging="709"/>
        <w:jc w:val="center"/>
        <w:rPr>
          <w:rFonts w:ascii="Times New Roman" w:hAnsi="Times New Roman" w:cs="Times New Roman"/>
          <w:sz w:val="40"/>
          <w:szCs w:val="40"/>
        </w:rPr>
      </w:pPr>
      <w:r w:rsidRPr="008641FC">
        <w:rPr>
          <w:rFonts w:ascii="Times New Roman" w:hAnsi="Times New Roman" w:cs="Times New Roman"/>
          <w:sz w:val="40"/>
          <w:szCs w:val="40"/>
        </w:rPr>
        <w:t>Historia de los leales Smurais de Akó</w:t>
      </w:r>
    </w:p>
    <w:p w:rsidR="008641FC" w:rsidRDefault="008641FC" w:rsidP="008641FC">
      <w:pPr>
        <w:spacing w:after="240" w:line="312" w:lineRule="auto"/>
        <w:ind w:firstLine="425"/>
        <w:jc w:val="both"/>
        <w:rPr>
          <w:rFonts w:ascii="Calisto" w:hAnsi="Calisto"/>
          <w:sz w:val="26"/>
          <w:szCs w:val="26"/>
        </w:rPr>
      </w:pPr>
      <w:r>
        <w:rPr>
          <w:rFonts w:ascii="Calisto" w:hAnsi="Calisto"/>
          <w:sz w:val="26"/>
          <w:szCs w:val="26"/>
        </w:rPr>
        <w:t>En el mes de noviembre de 1698, durante el domingo de Shogun Iyetsuna, se informó oficialmente al presidente de Roju de Yedo sobre la próxima llegada de tres embajadores, enviados por la corte Imperial de Kioto. Al mismo tiempo de le ordenaba que nombrara a dos Daimyo para recibirlos. Escogió al señor Asano Naganori y al Señor Date de Yoshiyo, ambos del mismo rango, quienes debían recibir instrucciones de Kirá, Gran Maestro de Ceremonias del Shogua.</w:t>
      </w:r>
    </w:p>
    <w:p w:rsidR="004F0823" w:rsidRDefault="008641FC" w:rsidP="008641FC">
      <w:pPr>
        <w:spacing w:after="240" w:line="312" w:lineRule="auto"/>
        <w:ind w:firstLine="425"/>
        <w:jc w:val="both"/>
        <w:rPr>
          <w:rFonts w:ascii="Calisto" w:hAnsi="Calisto"/>
          <w:sz w:val="26"/>
          <w:szCs w:val="26"/>
        </w:rPr>
      </w:pPr>
      <w:r>
        <w:rPr>
          <w:rFonts w:ascii="Calisto" w:hAnsi="Calisto"/>
          <w:sz w:val="26"/>
          <w:szCs w:val="26"/>
        </w:rPr>
        <w:t xml:space="preserve">Kirá no era un Diamyo, y por ello ignoraba los verdaderos principios de la nobleza. En </w:t>
      </w:r>
      <w:r w:rsidR="004F0823">
        <w:rPr>
          <w:rFonts w:ascii="Calisto" w:hAnsi="Calisto"/>
          <w:sz w:val="26"/>
          <w:szCs w:val="26"/>
        </w:rPr>
        <w:t>el ejercicio de sus funciones, se mostraba siempre codicioso, venal e insolente.</w:t>
      </w:r>
    </w:p>
    <w:p w:rsidR="005B61AC" w:rsidRDefault="004F0823" w:rsidP="008641FC">
      <w:pPr>
        <w:spacing w:after="240" w:line="312" w:lineRule="auto"/>
        <w:ind w:firstLine="425"/>
        <w:jc w:val="both"/>
        <w:rPr>
          <w:rFonts w:ascii="Calisto" w:hAnsi="Calisto"/>
          <w:sz w:val="26"/>
          <w:szCs w:val="26"/>
        </w:rPr>
      </w:pPr>
      <w:r>
        <w:rPr>
          <w:rFonts w:ascii="Calisto" w:hAnsi="Calisto"/>
          <w:sz w:val="26"/>
          <w:szCs w:val="26"/>
        </w:rPr>
        <w:t xml:space="preserve">Recibió despreciativo los presidentes que, según la costumbre, le llevaron los de Señores, y les trató con altivez mal disimulada. Los dos Señores, al principio, soportaron su conducta con serena dignidad, pero poco a poco </w:t>
      </w:r>
      <w:r w:rsidR="005B61AC">
        <w:rPr>
          <w:rFonts w:ascii="Calisto" w:hAnsi="Calisto"/>
          <w:sz w:val="26"/>
          <w:szCs w:val="26"/>
        </w:rPr>
        <w:t>el comportamiento de Señor Kirá fue haciéndose tan intolerable que decidieron vengarse de él y hasta pensaron matarle.</w:t>
      </w:r>
    </w:p>
    <w:p w:rsidR="005B61AC" w:rsidRDefault="005B61AC">
      <w:pPr>
        <w:rPr>
          <w:rFonts w:ascii="Calisto" w:hAnsi="Calisto"/>
          <w:sz w:val="26"/>
          <w:szCs w:val="26"/>
        </w:rPr>
      </w:pPr>
      <w:r>
        <w:rPr>
          <w:rFonts w:ascii="Calisto" w:hAnsi="Calisto"/>
          <w:sz w:val="26"/>
          <w:szCs w:val="26"/>
        </w:rPr>
        <w:br w:type="page"/>
      </w:r>
    </w:p>
    <w:p w:rsidR="008641FC" w:rsidRDefault="005B61AC" w:rsidP="005B61AC">
      <w:pPr>
        <w:spacing w:before="180" w:after="180" w:line="312" w:lineRule="auto"/>
        <w:jc w:val="center"/>
        <w:rPr>
          <w:rFonts w:ascii="Tahoma" w:hAnsi="Tahoma" w:cs="Tahoma"/>
          <w:b/>
          <w:sz w:val="24"/>
          <w:szCs w:val="24"/>
        </w:rPr>
      </w:pPr>
      <w:r>
        <w:rPr>
          <w:rFonts w:ascii="Tahoma" w:hAnsi="Tahoma" w:cs="Tahoma"/>
          <w:b/>
          <w:sz w:val="40"/>
          <w:szCs w:val="40"/>
        </w:rPr>
        <w:lastRenderedPageBreak/>
        <w:t>W</w:t>
      </w:r>
      <w:r>
        <w:rPr>
          <w:rFonts w:ascii="Tahoma" w:hAnsi="Tahoma" w:cs="Tahoma"/>
          <w:b/>
          <w:sz w:val="24"/>
          <w:szCs w:val="24"/>
        </w:rPr>
        <w:t>indows NT Server 4.0</w:t>
      </w:r>
    </w:p>
    <w:p w:rsidR="005B61AC" w:rsidRDefault="005B61AC" w:rsidP="005B61AC">
      <w:pPr>
        <w:spacing w:before="180" w:after="180" w:line="312" w:lineRule="auto"/>
        <w:jc w:val="both"/>
        <w:rPr>
          <w:b/>
          <w:sz w:val="24"/>
          <w:szCs w:val="24"/>
        </w:rPr>
      </w:pPr>
      <w:r w:rsidRPr="005B61AC">
        <w:rPr>
          <w:b/>
          <w:sz w:val="24"/>
          <w:szCs w:val="24"/>
        </w:rPr>
        <w:t>Proporciona la más completa plataforma Internet/Intr</w:t>
      </w:r>
      <w:r w:rsidR="0006052F">
        <w:rPr>
          <w:b/>
          <w:sz w:val="24"/>
          <w:szCs w:val="24"/>
        </w:rPr>
        <w:t>an</w:t>
      </w:r>
      <w:r w:rsidRPr="005B61AC">
        <w:rPr>
          <w:b/>
          <w:sz w:val="24"/>
          <w:szCs w:val="24"/>
        </w:rPr>
        <w:t>et</w:t>
      </w:r>
    </w:p>
    <w:p w:rsidR="005B61AC" w:rsidRDefault="00D838D6" w:rsidP="00D838D6">
      <w:pPr>
        <w:pStyle w:val="Prrafodelista"/>
        <w:numPr>
          <w:ilvl w:val="0"/>
          <w:numId w:val="2"/>
        </w:numPr>
        <w:spacing w:before="180" w:after="180" w:line="312" w:lineRule="auto"/>
        <w:ind w:left="357" w:hanging="357"/>
        <w:jc w:val="both"/>
        <w:rPr>
          <w:rFonts w:ascii="Tahoma" w:hAnsi="Tahoma" w:cs="Tahoma"/>
          <w:sz w:val="24"/>
          <w:szCs w:val="24"/>
        </w:rPr>
      </w:pPr>
      <w:r w:rsidRPr="00D838D6">
        <w:rPr>
          <w:rFonts w:ascii="Tahoma" w:hAnsi="Tahoma" w:cs="Tahoma"/>
          <w:sz w:val="24"/>
          <w:szCs w:val="24"/>
        </w:rPr>
        <w:t xml:space="preserve">El soporte Internet e intranet de Windows NT Server 4.0 ha sido notablemente mejorado, incluyendo Internet Information Server 2.0 (IIS) </w:t>
      </w:r>
      <w:r>
        <w:rPr>
          <w:rFonts w:ascii="Tahoma" w:hAnsi="Tahoma" w:cs="Tahoma"/>
          <w:sz w:val="24"/>
          <w:szCs w:val="24"/>
        </w:rPr>
        <w:t>para que sea una parte integral del sistema operativo de red.</w:t>
      </w:r>
    </w:p>
    <w:p w:rsidR="00D838D6" w:rsidRDefault="00D838D6" w:rsidP="00D838D6">
      <w:pPr>
        <w:pStyle w:val="Prrafodelista"/>
        <w:numPr>
          <w:ilvl w:val="0"/>
          <w:numId w:val="2"/>
        </w:numPr>
        <w:spacing w:before="180" w:after="180" w:line="312" w:lineRule="auto"/>
        <w:ind w:left="357" w:hanging="357"/>
        <w:jc w:val="both"/>
        <w:rPr>
          <w:rFonts w:ascii="Tahoma" w:hAnsi="Tahoma" w:cs="Tahoma"/>
          <w:sz w:val="24"/>
          <w:szCs w:val="24"/>
        </w:rPr>
      </w:pPr>
      <w:r>
        <w:rPr>
          <w:rFonts w:ascii="Tahoma" w:hAnsi="Tahoma" w:cs="Tahoma"/>
          <w:sz w:val="24"/>
          <w:szCs w:val="24"/>
        </w:rPr>
        <w:t>ISS está totalmente integrado en la instalación de Windows NT Server 4.0, el servicio de directorio, y las utilidades de seguridad.</w:t>
      </w:r>
    </w:p>
    <w:p w:rsidR="00D838D6" w:rsidRDefault="00D838D6" w:rsidP="00D838D6">
      <w:pPr>
        <w:pStyle w:val="Prrafodelista"/>
        <w:numPr>
          <w:ilvl w:val="0"/>
          <w:numId w:val="2"/>
        </w:numPr>
        <w:spacing w:before="180" w:after="180" w:line="312" w:lineRule="auto"/>
        <w:ind w:left="357" w:hanging="357"/>
        <w:jc w:val="both"/>
        <w:rPr>
          <w:rFonts w:ascii="Tahoma" w:hAnsi="Tahoma" w:cs="Tahoma"/>
          <w:sz w:val="24"/>
          <w:szCs w:val="24"/>
        </w:rPr>
      </w:pPr>
      <w:r>
        <w:rPr>
          <w:rFonts w:ascii="Tahoma" w:hAnsi="Tahoma" w:cs="Tahoma"/>
          <w:sz w:val="24"/>
          <w:szCs w:val="24"/>
        </w:rPr>
        <w:t>Windows NT Server 4.0 con ISS es una solución completa servidora Internet/Intranet con funcionalidades de generación de contenido, indexación y administración.</w:t>
      </w:r>
    </w:p>
    <w:p w:rsidR="00D838D6" w:rsidRDefault="00D838D6" w:rsidP="00D838D6">
      <w:pPr>
        <w:pStyle w:val="Prrafodelista"/>
        <w:numPr>
          <w:ilvl w:val="0"/>
          <w:numId w:val="2"/>
        </w:numPr>
        <w:spacing w:before="180" w:after="180" w:line="312" w:lineRule="auto"/>
        <w:ind w:left="357" w:hanging="357"/>
        <w:jc w:val="both"/>
        <w:rPr>
          <w:rFonts w:ascii="Tahoma" w:hAnsi="Tahoma" w:cs="Tahoma"/>
          <w:sz w:val="24"/>
          <w:szCs w:val="24"/>
        </w:rPr>
      </w:pPr>
      <w:r>
        <w:rPr>
          <w:rFonts w:ascii="Tahoma" w:hAnsi="Tahoma" w:cs="Tahoma"/>
          <w:sz w:val="24"/>
          <w:szCs w:val="24"/>
        </w:rPr>
        <w:t>Windows NT Server 4.0 con ISS es una forma sencilla de activar una nueva generación de aplicaciones utilizando un Inte</w:t>
      </w:r>
      <w:r w:rsidR="0006052F">
        <w:rPr>
          <w:rFonts w:ascii="Tahoma" w:hAnsi="Tahoma" w:cs="Tahoma"/>
          <w:sz w:val="24"/>
          <w:szCs w:val="24"/>
        </w:rPr>
        <w:t>r</w:t>
      </w:r>
      <w:r>
        <w:rPr>
          <w:rFonts w:ascii="Tahoma" w:hAnsi="Tahoma" w:cs="Tahoma"/>
          <w:sz w:val="24"/>
          <w:szCs w:val="24"/>
        </w:rPr>
        <w:t>net API (ISAPI) nativo, el Internet Darabase</w:t>
      </w:r>
      <w:r w:rsidR="0006052F">
        <w:rPr>
          <w:rFonts w:ascii="Tahoma" w:hAnsi="Tahoma" w:cs="Tahoma"/>
          <w:sz w:val="24"/>
          <w:szCs w:val="24"/>
        </w:rPr>
        <w:t xml:space="preserve"> </w:t>
      </w:r>
      <w:r>
        <w:rPr>
          <w:rFonts w:ascii="Tahoma" w:hAnsi="Tahoma" w:cs="Tahoma"/>
          <w:sz w:val="24"/>
          <w:szCs w:val="24"/>
        </w:rPr>
        <w:t>Connector (IDC), y la integración con Microsoft BackOffice.</w:t>
      </w:r>
    </w:p>
    <w:p w:rsidR="00D838D6" w:rsidRPr="00D838D6" w:rsidRDefault="00D838D6" w:rsidP="00D838D6">
      <w:pPr>
        <w:pStyle w:val="Prrafodelista"/>
        <w:numPr>
          <w:ilvl w:val="0"/>
          <w:numId w:val="2"/>
        </w:numPr>
        <w:spacing w:before="180" w:after="180" w:line="312" w:lineRule="auto"/>
        <w:ind w:left="357" w:hanging="357"/>
        <w:jc w:val="both"/>
        <w:rPr>
          <w:rFonts w:ascii="Tahoma" w:hAnsi="Tahoma" w:cs="Tahoma"/>
          <w:sz w:val="24"/>
          <w:szCs w:val="24"/>
        </w:rPr>
      </w:pPr>
      <w:r w:rsidRPr="00D838D6">
        <w:rPr>
          <w:rFonts w:ascii="Tahoma" w:hAnsi="Tahoma" w:cs="Tahoma"/>
          <w:sz w:val="24"/>
          <w:szCs w:val="24"/>
        </w:rPr>
        <w:t>Windows NT Server incluye Microsoft Index Server y ProntPage</w:t>
      </w:r>
      <w:bookmarkStart w:id="0" w:name="_GoBack"/>
      <w:bookmarkEnd w:id="0"/>
      <w:r w:rsidRPr="00D838D6">
        <w:rPr>
          <w:rFonts w:ascii="Tahoma" w:hAnsi="Tahoma" w:cs="Tahoma"/>
          <w:sz w:val="24"/>
          <w:szCs w:val="24"/>
        </w:rPr>
        <w:t xml:space="preserve"> para indexaci</w:t>
      </w:r>
      <w:r>
        <w:rPr>
          <w:rFonts w:ascii="Tahoma" w:hAnsi="Tahoma" w:cs="Tahoma"/>
          <w:sz w:val="24"/>
          <w:szCs w:val="24"/>
        </w:rPr>
        <w:t xml:space="preserve">ón de contenido </w:t>
      </w:r>
      <w:r w:rsidR="00A03658">
        <w:rPr>
          <w:rFonts w:ascii="Tahoma" w:hAnsi="Tahoma" w:cs="Tahoma"/>
          <w:sz w:val="24"/>
          <w:szCs w:val="24"/>
        </w:rPr>
        <w:t>y la creación y administración de sitios Web.</w:t>
      </w:r>
    </w:p>
    <w:p w:rsidR="00F7401E" w:rsidRPr="00D838D6" w:rsidRDefault="00F7401E" w:rsidP="00F7401E">
      <w:pPr>
        <w:rPr>
          <w:rFonts w:ascii="Arial" w:hAnsi="Arial" w:cs="Arial"/>
          <w:sz w:val="24"/>
          <w:szCs w:val="24"/>
        </w:rPr>
      </w:pPr>
    </w:p>
    <w:sectPr w:rsidR="00F7401E" w:rsidRPr="00D838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rus BT">
    <w:altName w:val="Times New Roman"/>
    <w:panose1 w:val="00000000000000000000"/>
    <w:charset w:val="00"/>
    <w:family w:val="roman"/>
    <w:notTrueType/>
    <w:pitch w:val="default"/>
  </w:font>
  <w:font w:name="Calis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33702"/>
    <w:multiLevelType w:val="hybridMultilevel"/>
    <w:tmpl w:val="2D06C1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EA6D2F"/>
    <w:multiLevelType w:val="hybridMultilevel"/>
    <w:tmpl w:val="E36A1202"/>
    <w:lvl w:ilvl="0" w:tplc="E6D8852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01E"/>
    <w:rsid w:val="0006052F"/>
    <w:rsid w:val="002F7610"/>
    <w:rsid w:val="004F0823"/>
    <w:rsid w:val="00502EDD"/>
    <w:rsid w:val="00503B28"/>
    <w:rsid w:val="005B61AC"/>
    <w:rsid w:val="008641FC"/>
    <w:rsid w:val="00A03658"/>
    <w:rsid w:val="00B419DB"/>
    <w:rsid w:val="00D838D6"/>
    <w:rsid w:val="00E84745"/>
    <w:rsid w:val="00EB4EE6"/>
    <w:rsid w:val="00F74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5AD7"/>
  <w15:docId w15:val="{3E4857E5-5E83-4D06-97BD-8E7616E6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Daniel ubalde</cp:lastModifiedBy>
  <cp:revision>4</cp:revision>
  <dcterms:created xsi:type="dcterms:W3CDTF">2018-09-25T10:36:00Z</dcterms:created>
  <dcterms:modified xsi:type="dcterms:W3CDTF">2018-09-25T12:29:00Z</dcterms:modified>
</cp:coreProperties>
</file>