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25C31" w14:textId="77777777" w:rsidR="00C32436" w:rsidRDefault="00C32436">
      <w:pPr>
        <w:pStyle w:val="Body"/>
        <w:spacing w:line="480" w:lineRule="auto"/>
        <w:rPr>
          <w:b/>
          <w:bCs/>
        </w:rPr>
      </w:pPr>
    </w:p>
    <w:p w14:paraId="0647B446" w14:textId="77777777" w:rsidR="00C32436" w:rsidRDefault="00C32436">
      <w:pPr>
        <w:pStyle w:val="Body"/>
        <w:spacing w:line="480" w:lineRule="auto"/>
        <w:jc w:val="center"/>
        <w:rPr>
          <w:b/>
          <w:bCs/>
        </w:rPr>
      </w:pPr>
    </w:p>
    <w:p w14:paraId="07DB8733" w14:textId="77777777" w:rsidR="00C32436" w:rsidRDefault="00C32436">
      <w:pPr>
        <w:pStyle w:val="Body"/>
        <w:spacing w:line="480" w:lineRule="auto"/>
        <w:jc w:val="center"/>
        <w:rPr>
          <w:b/>
          <w:bCs/>
        </w:rPr>
      </w:pPr>
    </w:p>
    <w:p w14:paraId="0BDE51A0" w14:textId="77777777" w:rsidR="00C32436" w:rsidRDefault="00C32436">
      <w:pPr>
        <w:pStyle w:val="Body"/>
        <w:spacing w:line="480" w:lineRule="auto"/>
        <w:rPr>
          <w:b/>
          <w:bCs/>
        </w:rPr>
      </w:pPr>
    </w:p>
    <w:p w14:paraId="6AEE0D09" w14:textId="77777777" w:rsidR="00C32436" w:rsidRDefault="00C32436">
      <w:pPr>
        <w:pStyle w:val="Body"/>
        <w:spacing w:line="480" w:lineRule="auto"/>
        <w:rPr>
          <w:b/>
          <w:bCs/>
        </w:rPr>
      </w:pPr>
    </w:p>
    <w:p w14:paraId="49770F06" w14:textId="77777777" w:rsidR="00C32436" w:rsidRDefault="00C32436">
      <w:pPr>
        <w:pStyle w:val="Body"/>
        <w:spacing w:line="480" w:lineRule="auto"/>
        <w:jc w:val="center"/>
        <w:rPr>
          <w:b/>
          <w:bCs/>
          <w:sz w:val="28"/>
          <w:szCs w:val="28"/>
        </w:rPr>
      </w:pPr>
    </w:p>
    <w:p w14:paraId="778843A6" w14:textId="77777777" w:rsidR="00C32436" w:rsidRDefault="009F6456">
      <w:pPr>
        <w:pStyle w:val="Body"/>
        <w:spacing w:line="480" w:lineRule="auto"/>
        <w:jc w:val="center"/>
        <w:rPr>
          <w:b/>
          <w:bCs/>
          <w:sz w:val="28"/>
          <w:szCs w:val="28"/>
        </w:rPr>
      </w:pPr>
      <w:r>
        <w:rPr>
          <w:b/>
          <w:bCs/>
          <w:sz w:val="28"/>
          <w:szCs w:val="28"/>
        </w:rPr>
        <w:t xml:space="preserve">The relationships between size and abundance in non-forest plant </w:t>
      </w:r>
      <w:r w:rsidR="0073111C">
        <w:rPr>
          <w:b/>
          <w:bCs/>
          <w:sz w:val="28"/>
          <w:szCs w:val="28"/>
        </w:rPr>
        <w:t>communities</w:t>
      </w:r>
    </w:p>
    <w:p w14:paraId="41983BC7" w14:textId="0A4BD059" w:rsidR="00C32436" w:rsidRDefault="0073111C">
      <w:pPr>
        <w:pStyle w:val="Body"/>
        <w:spacing w:line="480" w:lineRule="auto"/>
        <w:jc w:val="center"/>
        <w:rPr>
          <w:sz w:val="28"/>
          <w:szCs w:val="28"/>
          <w:vertAlign w:val="superscript"/>
        </w:rPr>
      </w:pPr>
      <w:r w:rsidRPr="00884FE4">
        <w:rPr>
          <w:sz w:val="28"/>
          <w:szCs w:val="28"/>
        </w:rPr>
        <w:t>Kelsey T. Dillon</w:t>
      </w:r>
      <w:r>
        <w:rPr>
          <w:sz w:val="28"/>
          <w:szCs w:val="28"/>
          <w:vertAlign w:val="superscript"/>
        </w:rPr>
        <w:t>1</w:t>
      </w:r>
      <w:r w:rsidRPr="00884FE4">
        <w:rPr>
          <w:sz w:val="28"/>
          <w:szCs w:val="28"/>
        </w:rPr>
        <w:t>, Amanda N. Henderson</w:t>
      </w:r>
      <w:r>
        <w:rPr>
          <w:sz w:val="28"/>
          <w:szCs w:val="28"/>
          <w:vertAlign w:val="superscript"/>
        </w:rPr>
        <w:t>1,</w:t>
      </w:r>
      <w:r w:rsidR="00CE0C65">
        <w:rPr>
          <w:sz w:val="28"/>
          <w:szCs w:val="28"/>
          <w:vertAlign w:val="superscript"/>
        </w:rPr>
        <w:t>2</w:t>
      </w:r>
      <w:r>
        <w:rPr>
          <w:sz w:val="28"/>
          <w:szCs w:val="28"/>
        </w:rPr>
        <w:t>, Alexandra G. Lodge</w:t>
      </w:r>
      <w:r>
        <w:rPr>
          <w:sz w:val="28"/>
          <w:szCs w:val="28"/>
          <w:vertAlign w:val="superscript"/>
        </w:rPr>
        <w:t>1,</w:t>
      </w:r>
      <w:r w:rsidR="00CE0C65">
        <w:rPr>
          <w:sz w:val="28"/>
          <w:szCs w:val="28"/>
          <w:vertAlign w:val="superscript"/>
        </w:rPr>
        <w:t>3</w:t>
      </w:r>
      <w:r w:rsidRPr="00884FE4">
        <w:rPr>
          <w:sz w:val="28"/>
          <w:szCs w:val="28"/>
        </w:rPr>
        <w:t>, Nina I. Hamilton</w:t>
      </w:r>
      <w:r>
        <w:rPr>
          <w:sz w:val="28"/>
          <w:szCs w:val="28"/>
          <w:vertAlign w:val="superscript"/>
        </w:rPr>
        <w:t>1</w:t>
      </w:r>
      <w:r w:rsidRPr="00884FE4">
        <w:rPr>
          <w:sz w:val="28"/>
          <w:szCs w:val="28"/>
        </w:rPr>
        <w:t>, Lindsey L. Sloat</w:t>
      </w:r>
      <w:r w:rsidR="00CE0C65">
        <w:rPr>
          <w:sz w:val="28"/>
          <w:szCs w:val="28"/>
          <w:vertAlign w:val="superscript"/>
        </w:rPr>
        <w:t>4</w:t>
      </w:r>
      <w:r w:rsidRPr="00884FE4">
        <w:rPr>
          <w:sz w:val="28"/>
          <w:szCs w:val="28"/>
        </w:rPr>
        <w:t>, Brian J. Enquist</w:t>
      </w:r>
      <w:r w:rsidR="00CE0C65">
        <w:rPr>
          <w:sz w:val="28"/>
          <w:szCs w:val="28"/>
          <w:vertAlign w:val="superscript"/>
        </w:rPr>
        <w:t>2</w:t>
      </w:r>
      <w:r w:rsidRPr="00884FE4">
        <w:rPr>
          <w:sz w:val="28"/>
          <w:szCs w:val="28"/>
        </w:rPr>
        <w:t>, Charles A. Price</w:t>
      </w:r>
      <w:r>
        <w:rPr>
          <w:sz w:val="28"/>
          <w:szCs w:val="28"/>
          <w:vertAlign w:val="superscript"/>
        </w:rPr>
        <w:t>5</w:t>
      </w:r>
      <w:r>
        <w:rPr>
          <w:sz w:val="28"/>
          <w:szCs w:val="28"/>
        </w:rPr>
        <w:t>, and Andrew J. Kerkhoff</w:t>
      </w:r>
      <w:r w:rsidR="00CE0C65">
        <w:rPr>
          <w:sz w:val="28"/>
          <w:szCs w:val="28"/>
          <w:vertAlign w:val="superscript"/>
        </w:rPr>
        <w:t>1</w:t>
      </w:r>
    </w:p>
    <w:p w14:paraId="083A2088" w14:textId="77777777" w:rsidR="00C32436" w:rsidRDefault="00C32436">
      <w:pPr>
        <w:pStyle w:val="Body"/>
        <w:spacing w:line="480" w:lineRule="auto"/>
        <w:rPr>
          <w:b/>
          <w:bCs/>
          <w:sz w:val="28"/>
          <w:szCs w:val="28"/>
        </w:rPr>
      </w:pPr>
    </w:p>
    <w:p w14:paraId="38FEAFB6" w14:textId="444B3678" w:rsidR="00C32436" w:rsidRDefault="0073111C" w:rsidP="00CE0C65">
      <w:pPr>
        <w:pStyle w:val="Body"/>
        <w:rPr>
          <w:i/>
          <w:iCs/>
        </w:rPr>
      </w:pPr>
      <w:r>
        <w:rPr>
          <w:vertAlign w:val="superscript"/>
        </w:rPr>
        <w:t>1</w:t>
      </w:r>
      <w:r w:rsidR="00CE0C65">
        <w:rPr>
          <w:i/>
          <w:iCs/>
        </w:rPr>
        <w:t>Department of Biology</w:t>
      </w:r>
      <w:r>
        <w:rPr>
          <w:i/>
          <w:iCs/>
        </w:rPr>
        <w:t>, Kenyon College, Gambier, OH, 43022, USA</w:t>
      </w:r>
    </w:p>
    <w:p w14:paraId="1DA7BCB3" w14:textId="78280303" w:rsidR="00C32436" w:rsidRDefault="00CE0C65" w:rsidP="00CE0C65">
      <w:pPr>
        <w:pStyle w:val="Body"/>
        <w:rPr>
          <w:i/>
          <w:iCs/>
        </w:rPr>
      </w:pPr>
      <w:r>
        <w:rPr>
          <w:vertAlign w:val="superscript"/>
        </w:rPr>
        <w:t>2</w:t>
      </w:r>
      <w:r w:rsidR="0073111C">
        <w:rPr>
          <w:i/>
          <w:iCs/>
        </w:rPr>
        <w:t>Department of Ecology &amp; Evolutionary Biology, University of Arizona, Tucson, AZ</w:t>
      </w:r>
    </w:p>
    <w:p w14:paraId="08CEEEE2" w14:textId="3A0644B6" w:rsidR="00CE0C65" w:rsidRDefault="00CE0C65" w:rsidP="00CE0C65">
      <w:pPr>
        <w:rPr>
          <w:rFonts w:ascii="Cambria" w:eastAsia="Times New Roman" w:hAnsi="Cambria"/>
          <w:i/>
          <w:iCs/>
          <w:color w:val="000000"/>
        </w:rPr>
      </w:pPr>
      <w:r>
        <w:rPr>
          <w:vertAlign w:val="superscript"/>
        </w:rPr>
        <w:t>3</w:t>
      </w:r>
      <w:r>
        <w:rPr>
          <w:rFonts w:ascii="Cambria" w:eastAsia="Times New Roman" w:hAnsi="Cambria"/>
          <w:i/>
          <w:iCs/>
          <w:color w:val="000000"/>
        </w:rPr>
        <w:t>Department of Ecosystem Science and Management, Texas A&amp;M University, College Station, TX, 77843</w:t>
      </w:r>
    </w:p>
    <w:p w14:paraId="46FEE1DD" w14:textId="18D18C76" w:rsidR="00C32436" w:rsidRPr="00CE0C65" w:rsidRDefault="00CE0C65" w:rsidP="00CE0C65">
      <w:pPr>
        <w:rPr>
          <w:rFonts w:eastAsia="Times New Roman"/>
        </w:rPr>
      </w:pPr>
      <w:r>
        <w:rPr>
          <w:rFonts w:ascii="Cambria" w:eastAsia="Times New Roman" w:hAnsi="Cambria"/>
          <w:i/>
          <w:iCs/>
          <w:color w:val="000000"/>
          <w:vertAlign w:val="superscript"/>
        </w:rPr>
        <w:t>4</w:t>
      </w:r>
      <w:r>
        <w:rPr>
          <w:rFonts w:ascii="Cambria" w:eastAsia="Cambria" w:hAnsi="Cambria" w:cs="Cambria"/>
          <w:i/>
        </w:rPr>
        <w:t xml:space="preserve"> Institute on the Environment, University of Minnesota, St. Paul, MN, 55414, USA</w:t>
      </w:r>
    </w:p>
    <w:p w14:paraId="3B2BB606" w14:textId="77777777" w:rsidR="00C32436" w:rsidRDefault="0073111C" w:rsidP="00CE0C65">
      <w:pPr>
        <w:pStyle w:val="Body"/>
        <w:rPr>
          <w:i/>
          <w:iCs/>
        </w:rPr>
      </w:pPr>
      <w:r>
        <w:rPr>
          <w:vertAlign w:val="superscript"/>
        </w:rPr>
        <w:t>5</w:t>
      </w:r>
      <w:r>
        <w:rPr>
          <w:i/>
          <w:iCs/>
        </w:rPr>
        <w:t>School of Plant Biology, University of Western Australia, Crawley, WA, 6009, Australia</w:t>
      </w:r>
    </w:p>
    <w:p w14:paraId="16F2DCBF" w14:textId="77777777" w:rsidR="00C32436" w:rsidRDefault="00C32436">
      <w:pPr>
        <w:pStyle w:val="Body"/>
        <w:spacing w:line="480" w:lineRule="auto"/>
        <w:rPr>
          <w:b/>
          <w:bCs/>
        </w:rPr>
      </w:pPr>
    </w:p>
    <w:p w14:paraId="7E0B59AF" w14:textId="77777777" w:rsidR="00C32436" w:rsidRDefault="00C32436">
      <w:pPr>
        <w:pStyle w:val="Body"/>
        <w:spacing w:line="480" w:lineRule="auto"/>
        <w:rPr>
          <w:b/>
          <w:bCs/>
        </w:rPr>
      </w:pPr>
    </w:p>
    <w:p w14:paraId="147C87A9" w14:textId="77777777" w:rsidR="00C32436" w:rsidRDefault="00C32436">
      <w:pPr>
        <w:pStyle w:val="Body"/>
        <w:spacing w:line="480" w:lineRule="auto"/>
        <w:rPr>
          <w:b/>
          <w:bCs/>
        </w:rPr>
      </w:pPr>
    </w:p>
    <w:p w14:paraId="086D2641" w14:textId="77777777" w:rsidR="00C32436" w:rsidRDefault="00C32436">
      <w:pPr>
        <w:pStyle w:val="Body"/>
        <w:spacing w:line="480" w:lineRule="auto"/>
        <w:rPr>
          <w:b/>
          <w:bCs/>
        </w:rPr>
      </w:pPr>
    </w:p>
    <w:p w14:paraId="6344FE6D" w14:textId="77777777" w:rsidR="00A46E3E" w:rsidRDefault="00A46E3E">
      <w:pPr>
        <w:pStyle w:val="Body"/>
        <w:spacing w:line="480" w:lineRule="auto"/>
        <w:rPr>
          <w:b/>
          <w:bCs/>
        </w:rPr>
      </w:pPr>
    </w:p>
    <w:p w14:paraId="1984A427" w14:textId="77777777" w:rsidR="00CE0C65" w:rsidRDefault="00CE0C65">
      <w:pPr>
        <w:pStyle w:val="Body"/>
        <w:spacing w:line="480" w:lineRule="auto"/>
        <w:rPr>
          <w:b/>
          <w:bCs/>
        </w:rPr>
      </w:pPr>
    </w:p>
    <w:p w14:paraId="109A1A07" w14:textId="77777777" w:rsidR="00CE0C65" w:rsidRDefault="00CE0C65">
      <w:pPr>
        <w:pStyle w:val="Body"/>
        <w:spacing w:line="480" w:lineRule="auto"/>
        <w:rPr>
          <w:b/>
          <w:bCs/>
        </w:rPr>
      </w:pPr>
    </w:p>
    <w:p w14:paraId="38CBB44F" w14:textId="77777777" w:rsidR="00C32436" w:rsidRDefault="0073111C">
      <w:pPr>
        <w:pStyle w:val="Body"/>
        <w:spacing w:line="480" w:lineRule="auto"/>
        <w:rPr>
          <w:b/>
          <w:bCs/>
        </w:rPr>
      </w:pPr>
      <w:r w:rsidRPr="000D7D8F">
        <w:rPr>
          <w:b/>
          <w:bCs/>
        </w:rPr>
        <w:lastRenderedPageBreak/>
        <w:t>Abstract</w:t>
      </w:r>
    </w:p>
    <w:p w14:paraId="79D10C38" w14:textId="6ACDF65E" w:rsidR="00C32436" w:rsidRDefault="0073111C">
      <w:pPr>
        <w:pStyle w:val="Body"/>
        <w:spacing w:line="480" w:lineRule="auto"/>
        <w:ind w:firstLine="720"/>
      </w:pPr>
      <w:r>
        <w:t xml:space="preserve">The inverse relationship between size and abundance is a well-documented pattern in forests, </w:t>
      </w:r>
      <w:r w:rsidR="00A46E3E">
        <w:t xml:space="preserve">and the form of </w:t>
      </w:r>
      <w:r w:rsidR="00666F97">
        <w:t xml:space="preserve">size density relationships </w:t>
      </w:r>
      <w:r w:rsidR="00A46E3E">
        <w:t>depends on</w:t>
      </w:r>
      <w:r>
        <w:t xml:space="preserve"> the balance between growth and mortality rates in the community. Traditionally, studies of plant size distributions have focused on </w:t>
      </w:r>
      <w:r w:rsidR="007A583E">
        <w:t>single species populations</w:t>
      </w:r>
      <w:r w:rsidR="00666F97">
        <w:t xml:space="preserve"> and </w:t>
      </w:r>
      <w:r w:rsidR="00A46E3E">
        <w:t xml:space="preserve">forests, but here we </w:t>
      </w:r>
      <w:r>
        <w:t xml:space="preserve">examine </w:t>
      </w:r>
      <w:r w:rsidR="00666F97">
        <w:t xml:space="preserve">diverse </w:t>
      </w:r>
      <w:r>
        <w:t xml:space="preserve">communities dominated by plants with </w:t>
      </w:r>
      <w:r w:rsidR="00A46E3E">
        <w:t xml:space="preserve">varied </w:t>
      </w:r>
      <w:r>
        <w:t>life h</w:t>
      </w:r>
      <w:r w:rsidR="00A46E3E">
        <w:t>istories</w:t>
      </w:r>
      <w:r w:rsidR="00666F97">
        <w:t>, including grasses, forbs, shrubs, and succulents</w:t>
      </w:r>
      <w:r>
        <w:t xml:space="preserve">. In particular, we test whether the parameters of the </w:t>
      </w:r>
      <w:r w:rsidR="00666F97">
        <w:t xml:space="preserve">individual </w:t>
      </w:r>
      <w:r>
        <w:t xml:space="preserve">size distribution differ systematically across community types, and whether they </w:t>
      </w:r>
      <w:r w:rsidR="00666F97">
        <w:t xml:space="preserve">fit the contrasting </w:t>
      </w:r>
      <w:r>
        <w:t xml:space="preserve">predictions </w:t>
      </w:r>
      <w:r w:rsidR="00666F97">
        <w:t>of</w:t>
      </w:r>
      <w:r>
        <w:t xml:space="preserve"> metabolic </w:t>
      </w:r>
      <w:r w:rsidR="00666F97">
        <w:t>or demographic theories. A</w:t>
      </w:r>
      <w:r>
        <w:t xml:space="preserve">ll thirteen of our study sites </w:t>
      </w:r>
      <w:r w:rsidR="00666F97">
        <w:t>better fit the predictions of demographic equilibrium theory</w:t>
      </w:r>
      <w:r w:rsidR="007A583E">
        <w:t>, but i</w:t>
      </w:r>
      <w:r>
        <w:t xml:space="preserve">nterestingly, </w:t>
      </w:r>
      <w:r w:rsidR="00666F97">
        <w:t>fits of both demographic and metabolic models showed</w:t>
      </w:r>
      <w:r>
        <w:t xml:space="preserve"> little </w:t>
      </w:r>
      <w:r w:rsidR="00666F97">
        <w:t xml:space="preserve">systematic </w:t>
      </w:r>
      <w:r>
        <w:t>variation across community types</w:t>
      </w:r>
      <w:r w:rsidR="00A60547">
        <w:t>, despite large differences in environmental conditions and dominant life forms</w:t>
      </w:r>
      <w:r>
        <w:t xml:space="preserve">. Finally, analysis of the cross-community </w:t>
      </w:r>
      <w:r w:rsidR="007A583E">
        <w:t>scaling relationship</w:t>
      </w:r>
      <w:r>
        <w:t xml:space="preserve"> demonstrates that natural and restored non-forest communities conform to patterns of size and abundance observed among forest, plantation, and crop systems</w:t>
      </w:r>
      <w:r w:rsidR="00A46E3E">
        <w:t>. Taken together, our results suggest</w:t>
      </w:r>
      <w:r>
        <w:t xml:space="preserve"> that common ecological mechanisms govern plant community </w:t>
      </w:r>
      <w:r w:rsidR="00A46E3E">
        <w:t xml:space="preserve">size </w:t>
      </w:r>
      <w:r>
        <w:t xml:space="preserve">structure, regardless of the dominant </w:t>
      </w:r>
      <w:r w:rsidR="00A60547">
        <w:t xml:space="preserve">plant </w:t>
      </w:r>
      <w:r>
        <w:t>life forms.</w:t>
      </w:r>
    </w:p>
    <w:p w14:paraId="63CEB228" w14:textId="77777777" w:rsidR="00BE5BF8" w:rsidRPr="000D7D8F" w:rsidRDefault="00BE5BF8">
      <w:pPr>
        <w:rPr>
          <w:rFonts w:ascii="Cambria" w:eastAsia="Cambria" w:hAnsi="Cambria" w:cs="Cambria"/>
          <w:b/>
          <w:bCs/>
          <w:color w:val="000000"/>
          <w:u w:color="000000"/>
        </w:rPr>
      </w:pPr>
      <w:r w:rsidRPr="000D7D8F">
        <w:rPr>
          <w:b/>
          <w:bCs/>
        </w:rPr>
        <w:br w:type="page"/>
      </w:r>
    </w:p>
    <w:p w14:paraId="0B95A571" w14:textId="77777777" w:rsidR="00C32436" w:rsidRDefault="0073111C">
      <w:pPr>
        <w:pStyle w:val="Body"/>
        <w:spacing w:line="480" w:lineRule="auto"/>
        <w:rPr>
          <w:b/>
          <w:bCs/>
        </w:rPr>
      </w:pPr>
      <w:r w:rsidRPr="000D7D8F">
        <w:rPr>
          <w:b/>
          <w:bCs/>
        </w:rPr>
        <w:t>Introduction</w:t>
      </w:r>
    </w:p>
    <w:p w14:paraId="06F88BAA" w14:textId="6DB1F6AF" w:rsidR="00C32436" w:rsidRDefault="0073111C">
      <w:pPr>
        <w:pStyle w:val="Body"/>
        <w:spacing w:line="480" w:lineRule="auto"/>
        <w:ind w:firstLine="720"/>
      </w:pPr>
      <w:r>
        <w:t xml:space="preserve">A main goal of ecology is to document and explain patterns that reflect a common set of processes across many diverse ecosystems. One such general pattern seen in plant and animal communities is the inverse relationship between body size and abundance </w:t>
      </w:r>
      <w:r w:rsidR="000B1B2E">
        <w:fldChar w:fldCharType="begin"/>
      </w:r>
      <w:r w:rsidR="000B1B2E">
        <w:instrText xml:space="preserve"> ADDIN ZOTERO_ITEM CSL_CITATION {"citationID":"a175lv4pov7","properties":{"formattedCitation":"(White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0B1B2E">
        <w:fldChar w:fldCharType="separate"/>
      </w:r>
      <w:r w:rsidR="000B1B2E">
        <w:rPr>
          <w:noProof/>
        </w:rPr>
        <w:t>(White et al. 2007)</w:t>
      </w:r>
      <w:r w:rsidR="000B1B2E">
        <w:fldChar w:fldCharType="end"/>
      </w:r>
      <w:r w:rsidR="000B1B2E">
        <w:t xml:space="preserve">. </w:t>
      </w:r>
      <w:r>
        <w:t xml:space="preserve">Studies of "self-thinning" in plant populations demonstrate that </w:t>
      </w:r>
      <w:r w:rsidR="00173E0C">
        <w:t>the decline in abundance with size arises from the effects of resource competition on growth and mortality</w:t>
      </w:r>
      <w:r w:rsidR="000B1B2E">
        <w:t xml:space="preserve"> </w:t>
      </w:r>
      <w:r w:rsidR="000B1B2E">
        <w:fldChar w:fldCharType="begin"/>
      </w:r>
      <w:r w:rsidR="000B1B2E">
        <w:instrText xml:space="preserve"> ADDIN ZOTERO_ITEM CSL_CITATION {"citationID":"a1f80codgo7","properties":{"formattedCitation":"(Westoby 1981)","plainCitation":"(Westoby 1981)"},"citationItems":[{"id":10893,"uris":["http://zotero.org/users/4284391/items/X3788RW7"],"uri":["http://zotero.org/users/4284391/items/X3788RW7"],"itemData":{"id":10893,"type":"article-journal","title":"The Place of the Self-Thinning Rule in Population-Dynamics","container-title":"American Naturalist","page":"581-587","volume":"118","issue":"4","archive_location":"ISI:A1981MJ17600013","shortTitle":"The Place of the Self-Thinning Rule in Population-Dynamics","journalAbbreviation":"Am. Nat.","author":[{"family":"Westoby","given":"M."}],"issued":{"date-parts":[["1981"]]}}}],"schema":"https://github.com/citation-style-language/schema/raw/master/csl-citation.json"} </w:instrText>
      </w:r>
      <w:r w:rsidR="000B1B2E">
        <w:fldChar w:fldCharType="separate"/>
      </w:r>
      <w:r w:rsidR="000B1B2E">
        <w:rPr>
          <w:noProof/>
        </w:rPr>
        <w:t>(Westoby 1981)</w:t>
      </w:r>
      <w:r w:rsidR="000B1B2E">
        <w:fldChar w:fldCharType="end"/>
      </w:r>
      <w:r w:rsidR="00173E0C">
        <w:t xml:space="preserve">. </w:t>
      </w:r>
      <w:r>
        <w:t xml:space="preserve">Under constant resource supply rates, small plants </w:t>
      </w:r>
      <w:r w:rsidR="00173E0C">
        <w:t xml:space="preserve">typically </w:t>
      </w:r>
      <w:r>
        <w:t>grow with minimal mortality until the size-dependent rate of resource use equal</w:t>
      </w:r>
      <w:r w:rsidR="000B1B2E">
        <w:t>s the rate of resource supply, and s</w:t>
      </w:r>
      <w:r>
        <w:t>ubsequent growth is only possible if resources are liberated by the death of some individuals</w:t>
      </w:r>
      <w:r w:rsidR="00EF4CF7">
        <w:t xml:space="preserve"> </w:t>
      </w:r>
      <w:r w:rsidR="00EF4CF7">
        <w:fldChar w:fldCharType="begin"/>
      </w:r>
      <w:r w:rsidR="000F156D">
        <w:instrText xml:space="preserve"> ADDIN ZOTERO_ITEM CSL_CITATION {"citationID":"atfsahl67b","properties":{"formattedCitation":"(Yoda et al. 1963, Westoby and Howell 1986, Enquist et al. 1998, Deng et al. 2012)","plainCitation":"(Yoda et al. 1963, Westoby and Howell 1986, Enquist et al. 1998, Deng et al. 2012)"},"citationItems":[{"id":11311,"uris":["http://zotero.org/users/4284391/items/4A26QH9V"],"uri":["http://zotero.org/users/4284391/items/4A26QH9V"],"itemData":{"id":11311,"type":"article-journal","title":"Intraspecific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10903,"uris":["http://zotero.org/users/4284391/items/IL3SRXEB"],"uri":["http://zotero.org/users/4284391/items/IL3SRXEB"],"itemData":{"id":10903,"type":"article-journal","title":"Influence of Population-Structure on Self-Thinning of Plant- Populations","container-title":"Journal of Ecology","page":"343-359","volume":"74","issue":"2","archive_location":"ISI:A1986C824900003","shortTitle":"Influence of Population-Structure on Self-Thinning of Plant- Populations","journalAbbreviation":"J. Ecol.","author":[{"family":"Westoby","given":"M."},{"family":"Howell","given":"J."}],"issued":{"date-parts":[["1986",6]]}}},{"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EF4CF7">
        <w:fldChar w:fldCharType="separate"/>
      </w:r>
      <w:r w:rsidR="000F156D">
        <w:rPr>
          <w:noProof/>
        </w:rPr>
        <w:t>(Yoda et al. 1963, Westoby and Howell 1986, Enquist et al. 1998, Deng et al. 2012)</w:t>
      </w:r>
      <w:r w:rsidR="00EF4CF7">
        <w:fldChar w:fldCharType="end"/>
      </w:r>
      <w:r>
        <w:t xml:space="preserve">. At this resource equilibrium, </w:t>
      </w:r>
      <w:r w:rsidR="00E95935">
        <w:t>plant population density generally decays as</w:t>
      </w:r>
      <w:r>
        <w:t xml:space="preserve"> a power-law</w:t>
      </w:r>
      <w:r w:rsidR="00E95935">
        <w:t xml:space="preserve"> of plant size</w:t>
      </w:r>
      <w:r>
        <w:t>.</w:t>
      </w:r>
    </w:p>
    <w:p w14:paraId="0812A14C" w14:textId="7C0DBC5A" w:rsidR="00C32436" w:rsidRDefault="0073111C">
      <w:pPr>
        <w:pStyle w:val="Body"/>
        <w:spacing w:line="480" w:lineRule="auto"/>
        <w:ind w:firstLine="720"/>
      </w:pPr>
      <w:r>
        <w:t xml:space="preserve">In long-lived mixed-species </w:t>
      </w:r>
      <w:r w:rsidRPr="00884FE4">
        <w:t>perennial</w:t>
      </w:r>
      <w:r>
        <w:t xml:space="preserve"> communities, the situation is more complex. </w:t>
      </w:r>
      <w:r w:rsidR="00E95935">
        <w:t>Resource competition is frequently size-asymmetric, with larger individuals dominating their smaller neighbors</w:t>
      </w:r>
      <w:r w:rsidR="000F156D">
        <w:t xml:space="preserve"> </w:t>
      </w:r>
      <w:r w:rsidR="000F156D">
        <w:fldChar w:fldCharType="begin"/>
      </w:r>
      <w:r w:rsidR="000F156D">
        <w:instrText xml:space="preserve"> ADDIN ZOTERO_ITEM CSL_CITATION {"citationID":"a1ictt5g350","properties":{"formattedCitation":"(Kikuzawa 1999, Stoll et al. 2002)","plainCitation":"(Kikuzawa 1999, Stoll et al. 2002)"},"citationItems":[{"id":5422,"uris":["http://zotero.org/users/4284391/items/85BLDLBE"],"uri":["http://zotero.org/users/4284391/items/85BLDLBE"],"itemData":{"id":5422,"type":"article-journal","title":"Theoretical relationships between mean plant size  size distribution and self thinning under one-sided competition","container-title":"Annals of Botany","page":"11-18","volume":"83","issue":"1","abstract":"As yet there is no comprehensive theory in plant population ecology to explain relationships between mean plant size, size distribution and self-thinning. In this paper, a new synthesis of plant monocultures is proposed. If the reciprocal relationship between plant biomass and plant population density among various stands of even-aged plant populations holds, the same reciprocal relationship must exist between cumulative mass and cumulative number of plants from the largest individual within a population, assuming strict one-sided competition (which is an extreme condition for competition for light among plants). The two parameters of the relationship between cumulative mass and cumulative number within a stand both correlate with maximum plant height in the stand. One parameter equals the reciprocal of the potential maximum plant mass per area, which is expressed by the product of maximum plant height and dry-matter density. The other parameter correlates with the potential maximum individual,plant mass, which is allometrically related to maximum plant height. As a stand develops, the growth rate of the smallest individuals will become zero due to suppression from larger individuals, and they will die; i.e. self-thinning will occur. The slope of the self-thinning line is expressed through the coefficients of allometry between height and mass and between dry matter density and height. When the former coefficient is 3 and the latter is 0, the gradient exactly corresponds to the value expected from the 3/2 power rule, but it can take various values depending on the values of the two coefficients. Competition among individuals determines size-density relationships among stands, which in turn determine the size structure of the stand. The size structure constrains the growth of individuals and results in self-thinning within the stand. (C) 1999 Annals of Botany Company.","shortTitle":"Theoretical relationships between mean plant size  size distribution and self thinning under one-sided competition","author":[{"family":"Kikuzawa","given":"K."}],"issued":{"date-parts":[["1999"]]}}},{"id":9848,"uris":["http://zotero.org/users/4284391/items/GK26I4R6"],"uri":["http://zotero.org/users/4284391/items/GK26I4R6"],"itemData":{"id":9848,"type":"article-journal","title":"Size symmetry of competition alters biomass-density relationships","container-title":"Proceedings of the Royal Society of London Series B-Biological Sciences","page":"2191-2195","volume":"269","issue":"1506","archive_location":"ISI:000179245700002","abstract":"As crowded populations of plants develop, the growth of some plants is accompanied by the death of others, a process called density-dependent mortality or 'self-thinning'. During the course of density-dependent mortality, the relationship between total population biomass (B) and surviving plant density (N) is allometric: B = aN(b). Essentially, increasing population biomass can be achieved only through decreasing population density. Variation in the allometric coefficient a among species has been recognized for many years and is important for management, assessment of productivity and carbon budgets, but the causes of this variation have not been elucidated. Individual-based models predict that size-dependent competition causes variation in the allometric coefficient. Using transgenic Arabidopsis with decreased plasticity, we provide experimental evidence that morphological plasticity of wild-type populations decreases the size asymmetry of competition for light and thereby decreases density-dependent mortality. This decrease in density-dependent mortality results in more biomass at a given density under size-symmetric compared with size-asymmetric competition.","shortTitle":"Size symmetry of competition alters biomass-density relationships","author":[{"family":"Stoll","given":"P."},{"family":"Weiner","given":"J."},{"family":"Muller-Landau","given":"H."},{"family":"Muller","given":"E."},{"family":"Hara","given":"T."}],"issued":{"date-parts":[["2002",11,7]]}}}],"schema":"https://github.com/citation-style-language/schema/raw/master/csl-citation.json"} </w:instrText>
      </w:r>
      <w:r w:rsidR="000F156D">
        <w:fldChar w:fldCharType="separate"/>
      </w:r>
      <w:r w:rsidR="000F156D">
        <w:rPr>
          <w:noProof/>
        </w:rPr>
        <w:t>(Kikuzawa 1999, Stoll et al. 2002)</w:t>
      </w:r>
      <w:r w:rsidR="000F156D">
        <w:fldChar w:fldCharType="end"/>
      </w:r>
      <w:r w:rsidR="000203FF">
        <w:t xml:space="preserve"> though the</w:t>
      </w:r>
      <w:r w:rsidR="00DB1C93">
        <w:t xml:space="preserve"> balance between competitive and </w:t>
      </w:r>
      <w:r w:rsidR="000203FF">
        <w:t xml:space="preserve">facilitative interactions </w:t>
      </w:r>
      <w:r w:rsidR="00DB1C93">
        <w:t xml:space="preserve">is also size dependent </w:t>
      </w:r>
      <w:r w:rsidR="00DB1C93">
        <w:fldChar w:fldCharType="begin"/>
      </w:r>
      <w:r w:rsidR="00DB1C93">
        <w:instrText xml:space="preserve"> ADDIN ZOTERO_ITEM CSL_CITATION {"citationID":"a2fsutun2p7","properties":{"formattedCitation":"(Miriti 2006, Chu et al. 2010)","plainCitation":"(Miriti 2006, Chu et al. 2010)"},"citationItems":[{"id":11517,"uris":["http://zotero.org/users/4284391/items/2WRKHPWV"],"uri":["http://zotero.org/users/4284391/items/2WRKHPWV"],"itemData":{"id":11517,"type":"article-journal","title":"Ontogenetic shift from facilitation to competition in a desert shrub","container-title":"Journal of Ecology","page":"973-979","volume":"94","issue":"5","source":"Web of Science","abstract":"1 Spatiotemporal responses to habitat conditions are important components of plant population and community dynamics. Plant stage or size is a common predictor of plant performance for a range of ecological conditions, including responses to neighbours. Plant response to local conditions varies from seedling establishment through to senescence, with strong implications for population regulation. 2 I investigated size-dependent responses to near adult neighbours among a uniquely quantitative sample of mapped juvenile and adult bur-sage (Ambrosia dumosa), a common shrub in the Colorado Desert of California. 3 Analyses of juvenile establishment and survival for two 5-year census periods from 1984 to 1989 and 1989 to 1994 determined that germination and survival was greater for juveniles located under adults compared with away from adults. However, analyses of neighbour effects on growth of plants from the 1984 cohort showed that near adult neighbours improved juvenile growth over the 10-year interval from 1984 to 1994, but reduced adult growth. 4 A size-dependent, ontogenetic shift occurs because neighbouring adult plants significantly improve the demographic performance of juveniles, but diminish that of larger established plants. 5 The ontogenetic niche shift may be a useful framework to describe such differential responses of juvenile and adult plants. The utility of this framework is that responses to spatial and temporal variability in the environment are clearly demonstrated through ontogenetic constraints on plant performance, which provide an alternative mechanism of coexistence within and between species.","DOI":"10.1111/j.1365-2745.2006.01138.x","ISSN":"0022-0477","note":"WOS:000239510400009","journalAbbreviation":"J. Ecol.","language":"English","author":[{"family":"Miriti","given":"Maria N."}],"issued":{"date-parts":[["2006",9]]}}},{"id":11516,"uris":["http://zotero.org/users/4284391/items/TSL9DEFV"],"uri":["http://zotero.org/users/4284391/items/TSL9DEFV"],"itemData":{"id":11516,"type":"article-journal","title":"Effects of positive interactions, size symmetry of competition and abiotic stress on self-thinning in simulated plant populations","container-title":"Annals of Botany","page":"647-652","volume":"106","issue":"4","source":"Web of Science","abstract":"Competition drives self-thinning (density-dependent mortality) in crowded plant populations. Facilitative interactions have been shown to affect many processes in plant populations and communities, but their effects on self-thinning trajectories have not been investigated. Using an individual-based 'zone-of-influence' model, we studied the potential effects of the size symmetry of competition, abiotic stress and facilitation on self-thinning trajectories in plant monocultures. In the model, abiotic stress reduced the growth of all individuals and facilitation ameliorated the effects of stress on interacting individuals. Abiotic stress made the log biomass - log density relationship during self-thinning steeper, but this effect was reduced by positive interactions among individuals. Size-asymmetric competition also influenced the self-thinning slope. Although competition drives self-thinning, its course can be affected by abiotic stress, facilitation and competitive symmetry.","DOI":"10.1093/aob/mcq145","ISSN":"0305-7364","note":"WOS:000282167400014","journalAbbreviation":"Ann. Bot.","language":"English","author":[{"family":"Chu","given":"Cheng-Jin"},{"family":"Weiner","given":"Jacob"},{"family":"Maestre","given":"Fernando T."},{"family":"Wang","given":"You-Shi"},{"family":"Morris","given":"Charles"},{"family":"Xiao","given":"Sa"},{"family":"Yuan","given":"Jian-Li"},{"family":"Du","given":"Guo-Zhen"},{"family":"Wang","given":"Gang"}],"issued":{"date-parts":[["2010",10]]}}}],"schema":"https://github.com/citation-style-language/schema/raw/master/csl-citation.json"} </w:instrText>
      </w:r>
      <w:r w:rsidR="00DB1C93">
        <w:fldChar w:fldCharType="separate"/>
      </w:r>
      <w:r w:rsidR="00DB1C93">
        <w:rPr>
          <w:noProof/>
        </w:rPr>
        <w:t>(Miriti 2006, Chu et al. 2010)</w:t>
      </w:r>
      <w:r w:rsidR="00DB1C93">
        <w:fldChar w:fldCharType="end"/>
      </w:r>
      <w:r w:rsidR="00E95935">
        <w:t xml:space="preserve">. </w:t>
      </w:r>
      <w:r w:rsidR="00DB1C93">
        <w:t>Further</w:t>
      </w:r>
      <w:r w:rsidR="00782537">
        <w:t xml:space="preserve">, </w:t>
      </w:r>
      <w:r w:rsidR="000203FF">
        <w:t xml:space="preserve">the </w:t>
      </w:r>
      <w:r w:rsidR="00DB1C93">
        <w:t>relative importance</w:t>
      </w:r>
      <w:r w:rsidR="000203FF">
        <w:t xml:space="preserve"> resource competition and</w:t>
      </w:r>
      <w:r w:rsidR="000F156D">
        <w:t xml:space="preserve"> </w:t>
      </w:r>
      <w:r w:rsidR="00DB1C93">
        <w:t xml:space="preserve">abiotic </w:t>
      </w:r>
      <w:r w:rsidR="000203FF">
        <w:t xml:space="preserve">disturbance </w:t>
      </w:r>
      <w:r w:rsidR="00DB1C93">
        <w:t xml:space="preserve">also </w:t>
      </w:r>
      <w:r w:rsidR="000203FF">
        <w:t>shift</w:t>
      </w:r>
      <w:r w:rsidR="00DB1C93">
        <w:t>s</w:t>
      </w:r>
      <w:r w:rsidR="000203FF">
        <w:t xml:space="preserve"> as plants grow</w:t>
      </w:r>
      <w:r w:rsidR="004D3DC8">
        <w:t xml:space="preserve"> </w:t>
      </w:r>
      <w:r w:rsidR="00782537">
        <w:fldChar w:fldCharType="begin"/>
      </w:r>
      <w:r w:rsidR="000203FF">
        <w:instrText xml:space="preserve"> ADDIN ZOTERO_ITEM CSL_CITATION {"citationID":"arj3j51eeq","properties":{"formattedCitation":"(Coomes et al. 2003)","plainCitation":"(Coomes et al. 2003)"},"citationItems":[{"id":2250,"uris":["http://zotero.org/users/4284391/items/SUK6LHJ3"],"uri":["http://zotero.org/users/4284391/items/SUK6LHJ3"],"itemData":{"id":2250,"type":"article-journal","title":"Disturbances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B."},{"family":"Truscott","given":"J."}],"issued":{"date-parts":[["2003",11]]}}}],"schema":"https://github.com/citation-style-language/schema/raw/master/csl-citation.json"} </w:instrText>
      </w:r>
      <w:r w:rsidR="00782537">
        <w:fldChar w:fldCharType="separate"/>
      </w:r>
      <w:r w:rsidR="000203FF">
        <w:rPr>
          <w:noProof/>
        </w:rPr>
        <w:t>(Coomes et al. 2003)</w:t>
      </w:r>
      <w:r w:rsidR="00782537">
        <w:rPr>
          <w:noProof/>
        </w:rPr>
        <w:fldChar w:fldCharType="end"/>
      </w:r>
      <w:r w:rsidR="00DB1C93">
        <w:rPr>
          <w:noProof/>
        </w:rPr>
        <w:t xml:space="preserve">, </w:t>
      </w:r>
      <w:r w:rsidR="00DB1C93">
        <w:t xml:space="preserve">and </w:t>
      </w:r>
      <w:proofErr w:type="spellStart"/>
      <w:r w:rsidR="004B7E18">
        <w:t>allocational</w:t>
      </w:r>
      <w:proofErr w:type="spellEnd"/>
      <w:r w:rsidR="004B7E18">
        <w:t xml:space="preserve"> strategies that prioritize persistence over growth (e.g., dormancy, sprouting, shade tolerance) allow </w:t>
      </w:r>
      <w:r w:rsidR="00DB1C93">
        <w:t xml:space="preserve">many </w:t>
      </w:r>
      <w:r>
        <w:t xml:space="preserve">species can persist </w:t>
      </w:r>
      <w:r w:rsidR="00DB1C93">
        <w:t xml:space="preserve">for long periods in communities </w:t>
      </w:r>
      <w:r>
        <w:t>well below their maximum size</w:t>
      </w:r>
      <w:r w:rsidR="004B7E18">
        <w:t xml:space="preserve"> </w:t>
      </w:r>
      <w:r w:rsidR="004B7E18">
        <w:fldChar w:fldCharType="begin"/>
      </w:r>
      <w:r w:rsidR="006C563D">
        <w:instrText xml:space="preserve"> ADDIN ZOTERO_ITEM CSL_CITATION {"citationID":"a5pu9ekrlo","properties":{"formattedCitation":"(Venable and Brown 1988, Kitajima 1994, Walters and Reich 1996, Bond and Midgley 2001)","plainCitation":"(Venable and Brown 1988, Kitajima 1994, Walters and Reich 1996, Bond and Midgley 2001)"},"citationItems":[{"id":10566,"uris":["http://zotero.org/users/4284391/items/G54UCLFW"],"uri":["http://zotero.org/users/4284391/items/G54UCLFW"],"itemData":{"id":10566,"type":"article-journal","title":"The Selective Interactions of Dispersal  Dormancy  and Seed Size as Adaptations for Reducing Risk in Variable Environments","container-title":"American Naturalist","page":"360-384","volume":"131","issue":"3","shortTitle":"The Selective Interactions of Dispersal  Dormancy  and Seed Size as Adaptations for Reducing Risk in Variable Environments","author":[{"family":"Venable","given":"D. L."},{"family":"Brown","given":"J. S."}],"issued":{"date-parts":[["1988"]]}}},{"id":5472,"uris":["http://zotero.org/users/4284391/items/BF4673KN"],"uri":["http://zotero.org/users/4284391/items/BF4673KN"],"itemData":{"id":5472,"type":"article-journal","title":"Relative Importance Of Photosynthetic Traits And Allocation Patterns As Correlates Of Seedling Shade Tolerance Of 13 Tropical Trees","container-title":"Oecologia","page":"419-428","volume":"98","issue":"3-4","archive_location":"ISI:A1994PE43200023","abstract":"Among 13 tropical tree species on Barro Colorado Island, species with high seedling mortality rates during the first year in shade had higher relative growth rates (RGR) from germination to 2 months in both sun (23% full sun) and shade [2%, with and without lowered red: far red (R:FR) ratio] than shade tolerant species. Species with higher RGR in sun also had higher RGR in shade. These interspecific trends could be explained by differences in morphological traits and allocation patterns among species. Within each light regime, seedlings of shade-intolerant species had lower root: shoot ratios, higher leaf mass per unit area, and higher leaf area ratios (LAR) than shade tolerant species. In contrast, leaf gas exchange characteristics, or acclimation potential in these traits, had no relationship with seedling mortality rates in shade. In both shade tolerant and intolerant species, light saturated photosynthesis rates, dark respiration, and light compensation points were higher for sun-grown seedlings than far shade-grown seedlings. Differences in R:FR ratio in shade did not affect gas exchange, allocation patterns, or growth rates of any species. Survival of young tree seedlings in shade did not depend on higher net photosynthesis or biomass accumulation rates in shade. Rather, species with higher RGR died faster in shade than species with lower RGR. This trend could be explained if survival depends on morphological charac teristics likely to enhance defense against herbivores and pathogens, such as dense and tough leaves, a well-established root system, and high wood density. High construction costs for these traits, and low LAR as a consequence of these traits, should result in lower rates of whole-plant carbon gain and RGR for shade tolerant species than shade-intolerant species in shade as well as in sun.","shortTitle":"Relative Importance Of Photosynthetic Traits And Allocation Patterns As Correlates Of Seedling Shade Tolerance Of 13 Tropical Trees","author":[{"family":"Kitajima","given":"K."}],"issued":{"date-parts":[["1994",8]]}}},{"id":10719,"uris":["http://zotero.org/users/4284391/items/QVH4T6DK"],"uri":["http://zotero.org/users/4284391/items/QVH4T6DK"],"itemData":{"id":10719,"type":"article-journal","title":"Are shade tolerance, survival, and growth linked? Low light and, nitrogen effects on hardwood seedlings","container-title":"Ecology","page":"841-853","volume":"77","issue":"3","archive_location":"ISI:A1996UC98500019","abstract":"Variation in shade tolerance is a primary mechanism driving succession in northern deciduous forests. However, little is known about interspecific differences in the traits responsible for shade tolerance. Is shade tolerance due to the ability to grow or survive in deep shade, or both? How do plant morphology and photosynthesis relate to growth in shade? Is low light the sole critical stress determining differences in ''shade tolerance'' or do belowground resources interact with low light to affect growth and survival? In this study we address these questions for seedlings of Betula papyrifera Marsh., Betula alleghaniensis Britton, Ostrya virginiana (Mill.) K. Koch, Acer saccharum Marsh., and Quercus rubra L. grown for 2 yr in outdoor shade houses in a complete factorial of low light (2 and 8% open sky) and nitrogen (forest soil and forest soil plus 200 kg N . ha(-1) . yr(-1)). For these seedlings we examined effects of light and nitrogen on the interrelationships among survival, growth, and shade tolerance and explored the physiological bases of shade tolerance by examining the relationship of plant morphology and photosynthesis to growth. Nitrogen amendments did not have a significant effect on any plant trait at either light level. In 8% light, growth and survival were highest for shade-intolerant Betula papyrifera and mid-tolerant Betula alleghaniensis, lower for shade-tolerant Ostrya and Acer, and lowest for disturbance-adapted Quercus. In 2% light, species rankings reversed as Ostrya and Acer had higher growth and survival than the other species. Second-year survival was strongly related to 1 st-yr growth (P &lt; 0.001), whereas relationships with 1 st-yr plant mass and 1 st-yr absolute growth rates were weak. Therefore, survival of shade-tolerant species at 2% light was related to their maintenance of positive growth, whereas intolerant species had growth near zero and high rates of mortality. In both 2 and 8% light photosynthetic rates on mass (but not area) bases and the proportion of the plant in leaves (leaf area ratio and leaf mass ratio) were positively related to growth. Greater rates of growth and survival for shade-tolerant species in very low light, and for intolerant species in higher light, suggest that there is a species-based trade-off between maximizing growth in high light and minimizing the light compensation point for growth. This trade off may be an important mechanism driving forest community dynamics in northern hardwood forests.","shortTitle":"Are shade tolerance, survival, and growth linked? Low light and, nitrogen effects on hardwood seedlings","author":[{"family":"Walters","given":"M. B."},{"family":"Reich","given":"P. B."}],"issued":{"date-parts":[["1996",4]]}}},{"id":11521,"uris":["http://zotero.org/users/4284391/items/D8MZNEWE"],"uri":["http://zotero.org/users/4284391/items/D8MZNEWE"],"itemData":{"id":11521,"type":"article-journal","title":"Ecology of sprouting in woody plants: the persistence niche","container-title":"Trends in Ecology &amp; Evolution","page":"45-51","volume":"16","issue":"1","source":"Web of Science","abstract":"Many woody plants can resprout and many ecosystems are dominated by resprouters. They persist in situ through disturbance events such as fire, flooding or wind storms. However, the importance of 'persistence' in plant demography has been neglected in favour of 'recruitment' Thus much research on plant regeneration, conservation and evolution has focused on the importance of safe sites, seed and seedling banks, dispersal and germination with the implied importance of de novo replacement rather than persistence. Recent research shows a growing appreciation for the role of sprouting as a form of persistence in a diversity of ecosystems and tradeoffs between the two regeneration modes.","DOI":"10.1016/S0169-5347(00)02033-4","ISSN":"0169-5347","note":"WOS:000168453700023","shortTitle":"Ecology of sprouting in woody plants","journalAbbreviation":"Trends Ecol. Evol.","language":"English","author":[{"family":"Bond","given":"W. J."},{"family":"Midgley","given":"J. J."}],"issued":{"date-parts":[["2001",1]]}}}],"schema":"https://github.com/citation-style-language/schema/raw/master/csl-citation.json"} </w:instrText>
      </w:r>
      <w:r w:rsidR="004B7E18">
        <w:fldChar w:fldCharType="separate"/>
      </w:r>
      <w:r w:rsidR="006C563D">
        <w:rPr>
          <w:noProof/>
        </w:rPr>
        <w:t>(Venable and Brown 1988, Kitajima 1994, Walters and Reich 1996, Bond and Midgley 2001)</w:t>
      </w:r>
      <w:r w:rsidR="004B7E18">
        <w:fldChar w:fldCharType="end"/>
      </w:r>
      <w:r>
        <w:t xml:space="preserve">. Thus, in </w:t>
      </w:r>
      <w:r w:rsidR="000203FF">
        <w:t>natural</w:t>
      </w:r>
      <w:r>
        <w:t xml:space="preserve"> communities, </w:t>
      </w:r>
      <w:r w:rsidR="000203FF">
        <w:t>size distributions</w:t>
      </w:r>
      <w:r w:rsidR="00E95935">
        <w:t xml:space="preserve"> </w:t>
      </w:r>
      <w:r w:rsidR="000203FF">
        <w:t>reflect not just resource competition, but also life history trade-offs between growth and survival, complex neighborhood interactions, and the disturbance history of the community</w:t>
      </w:r>
      <w:r w:rsidR="003A18ED">
        <w:t xml:space="preserve"> </w:t>
      </w:r>
      <w:r w:rsidR="003A18ED">
        <w:fldChar w:fldCharType="begin"/>
      </w:r>
      <w:r w:rsidR="003A18ED">
        <w:instrText xml:space="preserve"> ADDIN ZOTERO_ITEM CSL_CITATION {"citationID":"a1bdcj1ruts","properties":{"formattedCitation":"(Niklas et al. 2003, Coomes et al. 2003, Muller-Landau et al. 2006a, Kerkhoff and Enquist 2007)","plainCitation":"(Niklas et al. 2003, Coomes et al. 2003, Muller-Landau et al. 2006a, Kerkhoff and Enquist 2007)"},"citationItems":[{"id":7462,"uris":["http://zotero.org/users/4284391/items/57HAL5R9"],"uri":["http://zotero.org/users/4284391/items/57HAL5R9"],"itemData":{"id":7462,"type":"article-journal","title":"Tree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I."},{"family":"Ashton","given":"P."}],"issued":{"date-parts":[["2006",5]]}}},{"id":11523,"uris":["http://zotero.org/users/4284391/items/RE7MSGXU"],"uri":["http://zotero.org/users/4284391/items/RE7MSGXU"],"itemData":{"id":11523,"type":"article-journal","title":"The implications of scaling approaches for understanding resilience and reorganization in ecosystems","container-title":"Bioscience","page":"489-499","volume":"57","issue":"6","source":"Web of Science","abstract":"Managing ecosystems for resilience-the capacity to maintain function in response to perturbation-is among the most pressing ecological and socioeconomic imperatives of our time. The variability of biological and ecological systems at multiple scales in time and space makes this task even more challenging, yet diverse ecological systems often display striking regularities. These regularities often take the form of scaling laws, which describe how the structure and function of the system change systematically with scale. In this article, we review recent work on the scaling of human settlement sizes and fertility as well as the size distributions of forests. We demonstrate that systematic departures from expected ecological scaling relationships may indicate particular structuring processes (e.g., fire) or the perturbation and reorganization of ecosystems. In sum, we argue that scaling provides a powerful tool for understanding resilience and change in ecological systems.","DOI":"10.1641/B570606","ISSN":"0006-3568","note":"WOS:000247294100007","journalAbbreviation":"Bioscience","language":"English","author":[{"family":"Kerkhoff","given":"Andrew J."},{"family":"Enquist","given":"Brian J."}],"issued":{"date-parts":[["2007",6]]}}}],"schema":"https://github.com/citation-style-language/schema/raw/master/csl-citation.json"} </w:instrText>
      </w:r>
      <w:r w:rsidR="003A18ED">
        <w:fldChar w:fldCharType="separate"/>
      </w:r>
      <w:r w:rsidR="003A18ED">
        <w:rPr>
          <w:noProof/>
        </w:rPr>
        <w:t>(Niklas et al. 2003, Coomes et al. 2003, Muller-Landau et al. 2006a, Kerkhoff and Enquist 2007)</w:t>
      </w:r>
      <w:r w:rsidR="003A18ED">
        <w:fldChar w:fldCharType="end"/>
      </w:r>
      <w:r>
        <w:t>.</w:t>
      </w:r>
    </w:p>
    <w:p w14:paraId="4DC29E5A" w14:textId="1EB5F280" w:rsidR="009F6456" w:rsidRPr="00297816" w:rsidRDefault="00297816">
      <w:pPr>
        <w:pStyle w:val="Body"/>
        <w:spacing w:line="480" w:lineRule="auto"/>
        <w:ind w:firstLine="720"/>
        <w:rPr>
          <w:i/>
        </w:rPr>
      </w:pPr>
      <w:r>
        <w:t>T</w:t>
      </w:r>
      <w:r w:rsidR="000E08F7">
        <w:t>he relationship between size and abundance</w:t>
      </w:r>
      <w:r>
        <w:t xml:space="preserve"> in ecology </w:t>
      </w:r>
      <w:r w:rsidR="009F6456">
        <w:t xml:space="preserve">in fact </w:t>
      </w:r>
      <w:r>
        <w:t>entails</w:t>
      </w:r>
      <w:r w:rsidR="009F6456">
        <w:t xml:space="preserve"> up to four different patterns</w:t>
      </w:r>
      <w:r w:rsidR="006C563D">
        <w:t xml:space="preserve"> </w:t>
      </w:r>
      <w:r w:rsidR="006C563D">
        <w:fldChar w:fldCharType="begin"/>
      </w:r>
      <w:r w:rsidR="006C563D">
        <w:instrText xml:space="preserve"> ADDIN ZOTERO_ITEM CSL_CITATION {"citationID":"aab9o471m4","properties":{"formattedCitation":"(White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rsidR="009F6456">
        <w:t xml:space="preserve">. </w:t>
      </w:r>
      <w:r w:rsidR="000E08F7">
        <w:t xml:space="preserve">In plant communities, </w:t>
      </w:r>
      <w:r w:rsidR="009F6456">
        <w:t>ecologists generally focus on two of these, which White et al. (200</w:t>
      </w:r>
      <w:r w:rsidR="006C563D">
        <w:t>7</w:t>
      </w:r>
      <w:r w:rsidR="009F6456">
        <w:t xml:space="preserve">) refer to as </w:t>
      </w:r>
      <w:r w:rsidR="009F6456" w:rsidRPr="009F6456">
        <w:rPr>
          <w:i/>
        </w:rPr>
        <w:t>individual size distributions</w:t>
      </w:r>
      <w:r w:rsidR="009F6456">
        <w:t xml:space="preserve"> and </w:t>
      </w:r>
      <w:r w:rsidR="009F6456" w:rsidRPr="009F6456">
        <w:rPr>
          <w:i/>
        </w:rPr>
        <w:t xml:space="preserve">cross-community </w:t>
      </w:r>
      <w:r w:rsidR="0023113A">
        <w:rPr>
          <w:i/>
        </w:rPr>
        <w:t>scaling</w:t>
      </w:r>
      <w:r w:rsidR="009F6456" w:rsidRPr="009F6456">
        <w:rPr>
          <w:i/>
        </w:rPr>
        <w:t xml:space="preserve"> relationships</w:t>
      </w:r>
      <w:r w:rsidR="009F6456">
        <w:rPr>
          <w:i/>
        </w:rPr>
        <w:t xml:space="preserve">. </w:t>
      </w:r>
      <w:r w:rsidR="009F6456">
        <w:t xml:space="preserve">Individual size distributions are simply the frequency distribution (or probability density) of individual sizes in a single local community. Cross-community </w:t>
      </w:r>
      <w:r w:rsidR="0023113A">
        <w:t>scaling</w:t>
      </w:r>
      <w:r w:rsidR="009F6456">
        <w:t xml:space="preserve"> relatio</w:t>
      </w:r>
      <w:r w:rsidR="00E84646">
        <w:t>nships plot the total density of individuals in a community as a function of the average size of all those individuals</w:t>
      </w:r>
      <w:r w:rsidR="001048CF">
        <w:t>, so each observation represents a stand or community</w:t>
      </w:r>
      <w:r w:rsidR="004809F9">
        <w:t>. Th</w:t>
      </w:r>
      <w:r w:rsidR="00982830">
        <w:t xml:space="preserve">e </w:t>
      </w:r>
      <w:r w:rsidR="00E95935">
        <w:t xml:space="preserve">cross-community </w:t>
      </w:r>
      <w:r w:rsidR="0023113A">
        <w:t>scaling</w:t>
      </w:r>
      <w:r w:rsidR="00E95935">
        <w:t xml:space="preserve"> relationship </w:t>
      </w:r>
      <w:r w:rsidR="00982830">
        <w:t xml:space="preserve">corresponds with how data are analyzed in self-thinning studies, </w:t>
      </w:r>
      <w:r w:rsidR="00BE3189">
        <w:t xml:space="preserve">and </w:t>
      </w:r>
      <w:r w:rsidR="009E49E3">
        <w:t>a recent</w:t>
      </w:r>
      <w:r w:rsidR="00BE3189">
        <w:t xml:space="preserve"> stud</w:t>
      </w:r>
      <w:r w:rsidR="009E49E3">
        <w:t>y</w:t>
      </w:r>
      <w:r w:rsidR="00BE3189">
        <w:t xml:space="preserve"> suggest</w:t>
      </w:r>
      <w:r w:rsidR="009E49E3">
        <w:t>s</w:t>
      </w:r>
      <w:r w:rsidR="00BE3189">
        <w:t xml:space="preserve"> that natural </w:t>
      </w:r>
      <w:r>
        <w:t xml:space="preserve">forest </w:t>
      </w:r>
      <w:r w:rsidR="00BE3189">
        <w:t xml:space="preserve">communities conform to the same self-thinning relationship </w:t>
      </w:r>
      <w:r w:rsidR="001048CF">
        <w:t xml:space="preserve">as experimental </w:t>
      </w:r>
      <w:r w:rsidR="00BE3189">
        <w:t xml:space="preserve">populations </w:t>
      </w:r>
      <w:r>
        <w:t xml:space="preserve">of </w:t>
      </w:r>
      <w:r w:rsidR="001048CF">
        <w:t xml:space="preserve">single </w:t>
      </w:r>
      <w:r>
        <w:t xml:space="preserve">crop species </w:t>
      </w:r>
      <w:r w:rsidR="006C563D">
        <w:fldChar w:fldCharType="begin"/>
      </w:r>
      <w:r w:rsidR="006C563D">
        <w:instrText xml:space="preserve"> ADDIN ZOTERO_ITEM CSL_CITATION {"citationID":"ae7e9f2or3","properties":{"formattedCitation":"(Deng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6C563D">
        <w:fldChar w:fldCharType="separate"/>
      </w:r>
      <w:r w:rsidR="006C563D">
        <w:rPr>
          <w:noProof/>
        </w:rPr>
        <w:t>(Deng et al. 2012)</w:t>
      </w:r>
      <w:r w:rsidR="006C563D">
        <w:fldChar w:fldCharType="end"/>
      </w:r>
      <w:r w:rsidR="006C563D">
        <w:t xml:space="preserve">. </w:t>
      </w:r>
      <w:r w:rsidR="00BE3189">
        <w:t xml:space="preserve">However, in contrast to the </w:t>
      </w:r>
      <w:r w:rsidR="00E22DCA">
        <w:t>generally</w:t>
      </w:r>
      <w:r w:rsidR="00BE3189">
        <w:t xml:space="preserve"> </w:t>
      </w:r>
      <w:r w:rsidR="00E95935">
        <w:t xml:space="preserve">narrow </w:t>
      </w:r>
      <w:r w:rsidR="00E22DCA">
        <w:t>range of sizes observed</w:t>
      </w:r>
      <w:r w:rsidR="00BE3189">
        <w:t xml:space="preserve"> in self-thinning studies, </w:t>
      </w:r>
      <w:r w:rsidR="009E49E3">
        <w:t>natural communitie</w:t>
      </w:r>
      <w:r w:rsidR="00E95935">
        <w:t>s often exhibit orders-of-magnitude variation in size</w:t>
      </w:r>
      <w:r w:rsidR="0023113A">
        <w:t xml:space="preserve"> </w:t>
      </w:r>
      <w:r w:rsidR="0023113A">
        <w:rPr>
          <w:i/>
        </w:rPr>
        <w:t xml:space="preserve">within </w:t>
      </w:r>
      <w:r w:rsidR="0023113A">
        <w:t>each community</w:t>
      </w:r>
      <w:r>
        <w:t>, so even if communities share a single cross-community size-density relationship, the individual size distributions observed within local communities may still be quite varied</w:t>
      </w:r>
      <w:r w:rsidR="006C563D">
        <w:t xml:space="preserve"> </w:t>
      </w:r>
      <w:r w:rsidR="006C563D">
        <w:fldChar w:fldCharType="begin"/>
      </w:r>
      <w:r w:rsidR="006C563D">
        <w:instrText xml:space="preserve"> ADDIN ZOTERO_ITEM CSL_CITATION {"citationID":"afgl6fbpvo","properties":{"formattedCitation":"(White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t>.</w:t>
      </w:r>
    </w:p>
    <w:p w14:paraId="3E41AFF2" w14:textId="28140870" w:rsidR="00C32436" w:rsidRDefault="0073111C">
      <w:pPr>
        <w:pStyle w:val="Body"/>
        <w:spacing w:line="480" w:lineRule="auto"/>
        <w:ind w:firstLine="720"/>
      </w:pPr>
      <w:r>
        <w:t xml:space="preserve">Traditionally, studies of </w:t>
      </w:r>
      <w:r w:rsidR="00224410">
        <w:t>size-</w:t>
      </w:r>
      <w:r w:rsidR="007A583E">
        <w:t>abundance relationships in natural plant communities</w:t>
      </w:r>
      <w:r w:rsidR="00BD78B7">
        <w:t xml:space="preserve"> have focused on forests, b</w:t>
      </w:r>
      <w:r>
        <w:t xml:space="preserve">ut herbaceous </w:t>
      </w:r>
      <w:r w:rsidR="00BD78B7">
        <w:t xml:space="preserve">and shrub-dominated </w:t>
      </w:r>
      <w:r w:rsidR="00E95935">
        <w:t xml:space="preserve">communities </w:t>
      </w:r>
      <w:r>
        <w:t xml:space="preserve">may offer new insights into the ecological processes underlying size distributions. </w:t>
      </w:r>
      <w:r w:rsidR="00E95935">
        <w:t>Here</w:t>
      </w:r>
      <w:r w:rsidR="00E17EF7">
        <w:t xml:space="preserve">, we examine </w:t>
      </w:r>
      <w:r w:rsidR="00E95935">
        <w:t>the relationships between size and abundance</w:t>
      </w:r>
      <w:r w:rsidR="00E17EF7">
        <w:t xml:space="preserve"> in </w:t>
      </w:r>
      <w:r w:rsidR="00E95935">
        <w:t xml:space="preserve">communities ranging from </w:t>
      </w:r>
      <w:r w:rsidR="00E17EF7">
        <w:t>temperate prairie</w:t>
      </w:r>
      <w:r w:rsidR="00E95935">
        <w:t>s and</w:t>
      </w:r>
      <w:r w:rsidR="00E17EF7">
        <w:t xml:space="preserve"> </w:t>
      </w:r>
      <w:r w:rsidR="00E95935">
        <w:t xml:space="preserve">herbaceous </w:t>
      </w:r>
      <w:r w:rsidR="00E17EF7">
        <w:t>wetland</w:t>
      </w:r>
      <w:r w:rsidR="00E95935">
        <w:t>s, to montane meadow</w:t>
      </w:r>
      <w:r w:rsidR="004779DF">
        <w:t>s</w:t>
      </w:r>
      <w:r w:rsidR="00E95935">
        <w:t xml:space="preserve"> and </w:t>
      </w:r>
      <w:r w:rsidR="00084FEE">
        <w:t>semi-arid grassland</w:t>
      </w:r>
      <w:r w:rsidR="00E95935">
        <w:t xml:space="preserve">s, to a </w:t>
      </w:r>
      <w:r w:rsidR="00084FEE">
        <w:t>succulent</w:t>
      </w:r>
      <w:r w:rsidR="00E95935">
        <w:t>- and shrub-dominated desert</w:t>
      </w:r>
      <w:r w:rsidR="00084FEE">
        <w:t>. By examining communities that vary in their range of sizes, dominant growth forms, and limiting resources, we can</w:t>
      </w:r>
      <w:r>
        <w:t xml:space="preserve"> test the generality of </w:t>
      </w:r>
      <w:r w:rsidR="00084FEE">
        <w:t xml:space="preserve">plant size distribution patterns and the explanations offered by </w:t>
      </w:r>
      <w:r w:rsidR="00BD78B7">
        <w:t xml:space="preserve">the alternative </w:t>
      </w:r>
      <w:r>
        <w:t>models</w:t>
      </w:r>
      <w:r w:rsidR="004779DF">
        <w:t xml:space="preserve"> of how growth and mortality trade-off to influence the relationship between size and abundance</w:t>
      </w:r>
      <w:r>
        <w:t>.</w:t>
      </w:r>
    </w:p>
    <w:p w14:paraId="7907BB2A" w14:textId="21E771D0" w:rsidR="00C32436" w:rsidRDefault="0073111C">
      <w:pPr>
        <w:pStyle w:val="Body"/>
        <w:spacing w:line="480" w:lineRule="auto"/>
        <w:rPr>
          <w:i/>
          <w:iCs/>
        </w:rPr>
      </w:pPr>
      <w:r>
        <w:rPr>
          <w:i/>
          <w:iCs/>
        </w:rPr>
        <w:t>Altern</w:t>
      </w:r>
      <w:r w:rsidR="00D77A53">
        <w:rPr>
          <w:i/>
          <w:iCs/>
        </w:rPr>
        <w:t xml:space="preserve">ative Models of </w:t>
      </w:r>
      <w:r w:rsidR="0072586B">
        <w:rPr>
          <w:i/>
          <w:iCs/>
        </w:rPr>
        <w:t xml:space="preserve">Individual </w:t>
      </w:r>
      <w:r>
        <w:rPr>
          <w:i/>
          <w:iCs/>
        </w:rPr>
        <w:t>Size Distributions</w:t>
      </w:r>
      <w:r w:rsidR="00D77A53">
        <w:rPr>
          <w:i/>
          <w:iCs/>
        </w:rPr>
        <w:t xml:space="preserve"> in Plant Communities</w:t>
      </w:r>
    </w:p>
    <w:p w14:paraId="38A43BCF" w14:textId="54723412" w:rsidR="00817EEC" w:rsidRDefault="0023113A" w:rsidP="00817EEC">
      <w:pPr>
        <w:pStyle w:val="Body"/>
        <w:spacing w:line="480" w:lineRule="auto"/>
        <w:ind w:firstLine="720"/>
      </w:pPr>
      <w:r>
        <w:t>Theoret</w:t>
      </w:r>
      <w:r w:rsidR="008117EF">
        <w:t xml:space="preserve">ical models used to fit and explain individual size distributions vary principally in their assumptions about how rates of growth and mortality scale with plant size. </w:t>
      </w:r>
      <w:r w:rsidR="00817EEC">
        <w:t>Like many biological rates and times, growth rates (</w:t>
      </w:r>
      <w:r w:rsidR="00817EEC">
        <w:rPr>
          <w:i/>
          <w:iCs/>
        </w:rPr>
        <w:t>g</w:t>
      </w:r>
      <w:r w:rsidR="00817EEC">
        <w:t>) and mortality rates (</w:t>
      </w:r>
      <w:r w:rsidR="00817EEC">
        <w:rPr>
          <w:i/>
          <w:iCs/>
        </w:rPr>
        <w:t>z</w:t>
      </w:r>
      <w:r w:rsidR="00817EEC">
        <w:t xml:space="preserve">) can be described by </w:t>
      </w:r>
      <w:proofErr w:type="spellStart"/>
      <w:r w:rsidR="00817EEC">
        <w:t>allometric</w:t>
      </w:r>
      <w:proofErr w:type="spellEnd"/>
      <w:r w:rsidR="00817EEC">
        <w:t xml:space="preserve"> power functions</w:t>
      </w:r>
      <w:r>
        <w:t xml:space="preserve"> of </w:t>
      </w:r>
      <w:r w:rsidR="00F4496A">
        <w:t xml:space="preserve">individual plant </w:t>
      </w:r>
      <w:r>
        <w:t>mass (</w:t>
      </w:r>
      <w:r>
        <w:rPr>
          <w:i/>
        </w:rPr>
        <w:t>m</w:t>
      </w:r>
      <w:r>
        <w:t>)</w:t>
      </w:r>
      <w:r w:rsidR="00817EEC">
        <w:t xml:space="preserve"> </w:t>
      </w:r>
      <w:r w:rsidR="003A18ED">
        <w:fldChar w:fldCharType="begin"/>
      </w:r>
      <w:r w:rsidR="003A18ED">
        <w:instrText xml:space="preserve"> ADDIN ZOTERO_ITEM CSL_CITATION {"citationID":"a2k2c9ifeu5","properties":{"formattedCitation":"(Enquist and Niklas 2001, Coomes et al. 2003, Muller-Landau et al. 2006b)","plainCitation":"(Enquist and Niklas 2001, Coomes et al. 2003, Muller-Landau et al. 2006b)"},"citationItems":[{"id":3042,"uris":["http://zotero.org/users/4284391/items/I2LELGSU"],"uri":["http://zotero.org/users/4284391/items/I2LELGSU"],"itemData":{"id":3042,"type":"article-journal","title":"Invariant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18ED">
        <w:fldChar w:fldCharType="separate"/>
      </w:r>
      <w:r w:rsidR="003A18ED">
        <w:rPr>
          <w:noProof/>
        </w:rPr>
        <w:t>(Enquist and Niklas 2001, Coomes et al. 2003, Muller-Landau et al. 2006b)</w:t>
      </w:r>
      <w:r w:rsidR="003A18ED">
        <w:fldChar w:fldCharType="end"/>
      </w:r>
    </w:p>
    <w:p w14:paraId="0F97504A" w14:textId="77777777" w:rsidR="00817EEC" w:rsidRDefault="00817EEC" w:rsidP="00817EEC">
      <w:pPr>
        <w:pStyle w:val="Body"/>
        <w:spacing w:line="480" w:lineRule="auto"/>
        <w:jc w:val="center"/>
      </w:pPr>
      <m:oMath>
        <m:r>
          <w:rPr>
            <w:rFonts w:ascii="Cambria Math" w:hAnsi="Cambria Math"/>
          </w:rPr>
          <m:t>g(m) = c</m:t>
        </m:r>
        <m:sSup>
          <m:sSupPr>
            <m:ctrlPr>
              <w:rPr>
                <w:rFonts w:ascii="Cambria Math" w:hAnsi="Cambria Math"/>
                <w:i/>
              </w:rPr>
            </m:ctrlPr>
          </m:sSupPr>
          <m:e>
            <m:r>
              <w:rPr>
                <w:rFonts w:ascii="Cambria Math" w:hAnsi="Cambria Math"/>
              </w:rPr>
              <m:t>m</m:t>
            </m:r>
          </m:e>
          <m:sup>
            <m:r>
              <w:rPr>
                <w:rFonts w:ascii="Cambria Math" w:hAnsi="Cambria Math"/>
              </w:rPr>
              <m:t>a</m:t>
            </m:r>
          </m:sup>
        </m:sSup>
      </m:oMath>
      <w:r>
        <w:t xml:space="preserve">, </w:t>
      </w:r>
      <w:r>
        <w:tab/>
        <w:t>(1)</w:t>
      </w:r>
    </w:p>
    <w:p w14:paraId="3AEFE36D" w14:textId="77777777" w:rsidR="00817EEC" w:rsidRDefault="00817EEC" w:rsidP="00817EEC">
      <w:pPr>
        <w:pStyle w:val="Body"/>
        <w:spacing w:line="480" w:lineRule="auto"/>
        <w:jc w:val="center"/>
      </w:pPr>
      <m:oMath>
        <m:r>
          <w:rPr>
            <w:rFonts w:ascii="Cambria Math" w:hAnsi="Cambria Math"/>
          </w:rPr>
          <m:t>z(m) =</m:t>
        </m:r>
        <m:r>
          <w:rPr>
            <w:rFonts w:ascii="Cambria Math" w:hAnsi="Cambria Math"/>
            <w:vertAlign w:val="superscript"/>
          </w:rPr>
          <m:t xml:space="preserve"> </m:t>
        </m:r>
        <m:r>
          <w:rPr>
            <w:rFonts w:ascii="Cambria Math" w:hAnsi="Cambria Math"/>
          </w:rPr>
          <m:t>d</m:t>
        </m:r>
        <m:sSup>
          <m:sSupPr>
            <m:ctrlPr>
              <w:rPr>
                <w:rFonts w:ascii="Cambria Math" w:hAnsi="Cambria Math"/>
                <w:i/>
              </w:rPr>
            </m:ctrlPr>
          </m:sSupPr>
          <m:e>
            <m:r>
              <w:rPr>
                <w:rFonts w:ascii="Cambria Math" w:hAnsi="Cambria Math"/>
              </w:rPr>
              <m:t>m</m:t>
            </m:r>
          </m:e>
          <m:sup>
            <m:r>
              <w:rPr>
                <w:rFonts w:ascii="Cambria Math" w:hAnsi="Cambria Math"/>
              </w:rPr>
              <m:t>b</m:t>
            </m:r>
          </m:sup>
        </m:sSup>
      </m:oMath>
      <w:r>
        <w:t>.</w:t>
      </w:r>
      <w:r>
        <w:tab/>
        <w:t>(2)</w:t>
      </w:r>
    </w:p>
    <w:p w14:paraId="1FF49D73" w14:textId="16825B62" w:rsidR="00817EEC" w:rsidRPr="000D7D8F" w:rsidRDefault="00817EEC" w:rsidP="00817EEC">
      <w:pPr>
        <w:pStyle w:val="Body"/>
        <w:spacing w:line="480" w:lineRule="auto"/>
        <w:rPr>
          <w:lang w:val="da-DK"/>
        </w:rPr>
      </w:pPr>
      <w:r>
        <w:t xml:space="preserve">Here, </w:t>
      </w:r>
      <w:r>
        <w:rPr>
          <w:i/>
          <w:iCs/>
        </w:rPr>
        <w:t xml:space="preserve">g </w:t>
      </w:r>
      <w:r>
        <w:t>is the growth rate</w:t>
      </w:r>
      <w:r w:rsidR="0023113A">
        <w:t xml:space="preserve"> (mass time</w:t>
      </w:r>
      <w:r w:rsidR="0023113A">
        <w:rPr>
          <w:vertAlign w:val="superscript"/>
        </w:rPr>
        <w:t>-1</w:t>
      </w:r>
      <w:r w:rsidR="0023113A">
        <w:t>)</w:t>
      </w:r>
      <w:r>
        <w:t xml:space="preserve">, </w:t>
      </w:r>
      <w:r>
        <w:rPr>
          <w:i/>
          <w:iCs/>
        </w:rPr>
        <w:t xml:space="preserve">c </w:t>
      </w:r>
      <w:r>
        <w:t>is the growth coefficient</w:t>
      </w:r>
      <w:r w:rsidR="0023113A">
        <w:t xml:space="preserve"> (mass</w:t>
      </w:r>
      <w:r w:rsidR="0023113A">
        <w:rPr>
          <w:vertAlign w:val="superscript"/>
        </w:rPr>
        <w:t>(1-</w:t>
      </w:r>
      <w:r w:rsidR="0023113A">
        <w:rPr>
          <w:i/>
          <w:vertAlign w:val="superscript"/>
        </w:rPr>
        <w:t>a</w:t>
      </w:r>
      <w:r w:rsidR="0023113A">
        <w:rPr>
          <w:vertAlign w:val="superscript"/>
        </w:rPr>
        <w:t>)</w:t>
      </w:r>
      <w:r w:rsidR="0023113A">
        <w:t xml:space="preserve"> time</w:t>
      </w:r>
      <w:r w:rsidR="0023113A">
        <w:rPr>
          <w:vertAlign w:val="superscript"/>
        </w:rPr>
        <w:t>-1</w:t>
      </w:r>
      <w:proofErr w:type="gramStart"/>
      <w:r w:rsidR="0023113A">
        <w:t xml:space="preserve">) </w:t>
      </w:r>
      <w:r>
        <w:t>,</w:t>
      </w:r>
      <w:proofErr w:type="gramEnd"/>
      <w:r>
        <w:t xml:space="preserve"> </w:t>
      </w:r>
      <w:r>
        <w:rPr>
          <w:i/>
          <w:iCs/>
        </w:rPr>
        <w:t>a</w:t>
      </w:r>
      <w:r>
        <w:t xml:space="preserve"> is the scaling exponent for growth, </w:t>
      </w:r>
      <w:r>
        <w:rPr>
          <w:i/>
          <w:iCs/>
        </w:rPr>
        <w:t>z</w:t>
      </w:r>
      <w:r>
        <w:t xml:space="preserve"> is the mortality rate</w:t>
      </w:r>
      <w:r w:rsidR="0023113A">
        <w:t xml:space="preserve"> (time</w:t>
      </w:r>
      <w:r w:rsidR="0023113A">
        <w:rPr>
          <w:vertAlign w:val="superscript"/>
        </w:rPr>
        <w:t>-1</w:t>
      </w:r>
      <w:r w:rsidR="0023113A">
        <w:t>)</w:t>
      </w:r>
      <w:r>
        <w:t xml:space="preserve">, </w:t>
      </w:r>
      <w:r>
        <w:rPr>
          <w:i/>
          <w:iCs/>
        </w:rPr>
        <w:t>d</w:t>
      </w:r>
      <w:r>
        <w:t xml:space="preserve"> is the mortality coefficient</w:t>
      </w:r>
      <w:r w:rsidR="0023113A">
        <w:t xml:space="preserve"> (mass</w:t>
      </w:r>
      <w:r w:rsidR="0023113A">
        <w:rPr>
          <w:vertAlign w:val="superscript"/>
        </w:rPr>
        <w:t>-</w:t>
      </w:r>
      <w:r w:rsidR="0023113A" w:rsidRPr="0023113A">
        <w:rPr>
          <w:i/>
          <w:vertAlign w:val="superscript"/>
        </w:rPr>
        <w:t>b</w:t>
      </w:r>
      <w:r w:rsidR="0023113A">
        <w:t xml:space="preserve"> time</w:t>
      </w:r>
      <w:r w:rsidR="00CA2710">
        <w:rPr>
          <w:vertAlign w:val="superscript"/>
        </w:rPr>
        <w:t>-1</w:t>
      </w:r>
      <w:r w:rsidR="0023113A">
        <w:t>)</w:t>
      </w:r>
      <w:r>
        <w:t xml:space="preserve">, and </w:t>
      </w:r>
      <w:r>
        <w:rPr>
          <w:i/>
          <w:iCs/>
        </w:rPr>
        <w:t>b</w:t>
      </w:r>
      <w:r>
        <w:t xml:space="preserve"> is the scaling exponent for mortality. In this study, we examine two specific alt</w:t>
      </w:r>
      <w:r w:rsidR="0056336C">
        <w:t>ernative theories that make con</w:t>
      </w:r>
      <w:r>
        <w:t>trasting assumptions about the parameters of equations 1 and 2: metabolic scaling theory and demographic equilibrium theory. Both theories assume that growth rate scales as an increasing power function of plant size (</w:t>
      </w:r>
      <w:r>
        <w:rPr>
          <w:i/>
        </w:rPr>
        <w:t>i.e.,</w:t>
      </w:r>
      <w:r>
        <w:t xml:space="preserve"> </w:t>
      </w:r>
      <w:r>
        <w:rPr>
          <w:i/>
        </w:rPr>
        <w:t>a</w:t>
      </w:r>
      <w:r>
        <w:t xml:space="preserve"> &gt; 0) but the theories differ with regard to the scaling of mortality rate. These alternative assumptions lead to different probability density functions describing the size distribution of individuals </w:t>
      </w:r>
      <w:r w:rsidR="003A18ED">
        <w:rPr>
          <w:noProof/>
        </w:rPr>
        <w:drawing>
          <wp:anchor distT="0" distB="0" distL="114300" distR="114300" simplePos="0" relativeHeight="251658240" behindDoc="0" locked="0" layoutInCell="1" allowOverlap="1" wp14:anchorId="3989E2A1" wp14:editId="21F87826">
            <wp:simplePos x="0" y="0"/>
            <wp:positionH relativeFrom="column">
              <wp:posOffset>0</wp:posOffset>
            </wp:positionH>
            <wp:positionV relativeFrom="paragraph">
              <wp:posOffset>1138555</wp:posOffset>
            </wp:positionV>
            <wp:extent cx="5486400" cy="2404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04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community </w:t>
      </w:r>
      <w:r w:rsidR="003A18ED">
        <w:fldChar w:fldCharType="begin"/>
      </w:r>
      <w:r w:rsidR="003A18ED">
        <w:instrText xml:space="preserve"> ADDIN ZOTERO_ITEM CSL_CITATION {"citationID":"a1p1h2qn4sf","properties":{"formattedCitation":"(Coomes et al. 2003, Muller-Landau et al. 2006b, Lai et al. 2013)","plainCitation":"(Coomes et al. 2003, Muller-Landau et al. 2006b,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18ED">
        <w:fldChar w:fldCharType="separate"/>
      </w:r>
      <w:r w:rsidR="003A18ED">
        <w:rPr>
          <w:noProof/>
        </w:rPr>
        <w:t>(Coomes et al. 2003, Muller-Landau et al. 2006b, Lai et al. 2013, Figure 1)</w:t>
      </w:r>
      <w:r w:rsidR="003A18ED">
        <w:fldChar w:fldCharType="end"/>
      </w:r>
      <w:r w:rsidR="003A18ED">
        <w:t>.</w:t>
      </w:r>
    </w:p>
    <w:p w14:paraId="0648F7E2" w14:textId="472B3CB7" w:rsidR="00C32436" w:rsidRDefault="00817EEC" w:rsidP="00BD78B7">
      <w:pPr>
        <w:pStyle w:val="Body"/>
        <w:spacing w:line="480" w:lineRule="auto"/>
        <w:ind w:firstLine="720"/>
      </w:pPr>
      <w:r>
        <w:t xml:space="preserve">Metabolic scaling theory assumes that, like growth, mortality also follows a power-function. Specifically, </w:t>
      </w:r>
      <w:r w:rsidR="0073111C">
        <w:t>based on the assumption that that the forest community is utilizing all available space and resources</w:t>
      </w:r>
      <w:r>
        <w:t>, mortality rate follows the same scaling relationship as mass-specific metabolic rate</w:t>
      </w:r>
      <w:r w:rsidR="0073111C">
        <w:t xml:space="preserve"> </w:t>
      </w:r>
      <w:r w:rsidR="00511AC8">
        <w:fldChar w:fldCharType="begin"/>
      </w:r>
      <w:r w:rsidR="00511AC8">
        <w:instrText xml:space="preserve"> ADDIN ZOTERO_ITEM CSL_CITATION {"citationID":"a1540fuq5kq","properties":{"formattedCitation":"(Enquist and Niklas 2001, Stegen and White 2008)","plainCitation":"(Enquist and Niklas 2001, Stegen and White 2008)"},"citationItems":[{"id":3042,"uris":["http://zotero.org/users/4284391/items/I2LELGSU"],"uri":["http://zotero.org/users/4284391/items/I2LELGSU"],"itemData":{"id":3042,"type":"article-journal","title":"Invariant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(Enquist and Niklas 2001, Stegen and White 2008)</w:t>
      </w:r>
      <w:r w:rsidR="00511AC8">
        <w:fldChar w:fldCharType="end"/>
      </w:r>
      <w:r w:rsidR="00511AC8">
        <w:t>.</w:t>
      </w:r>
      <w:r w:rsidR="0073111C">
        <w:t xml:space="preserve"> The </w:t>
      </w:r>
      <w:r>
        <w:t xml:space="preserve">resulting </w:t>
      </w:r>
      <w:r w:rsidR="0073111C">
        <w:t xml:space="preserve">probability density function </w:t>
      </w:r>
      <w:r>
        <w:t>is a Pareto distribution,</w:t>
      </w:r>
      <w:r w:rsidR="0073111C">
        <w:t xml:space="preserve"> defined as:</w:t>
      </w:r>
    </w:p>
    <w:p w14:paraId="385A47EF" w14:textId="77777777" w:rsidR="00C32436" w:rsidRDefault="00DA2760">
      <w:pPr>
        <w:pStyle w:val="Body"/>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m</m:t>
            </m:r>
          </m:e>
        </m:d>
        <m:r>
          <w:rPr>
            <w:rFonts w:ascii="Cambria Math" w:hAnsi="Cambria Math"/>
          </w:rPr>
          <m:t>= -</m:t>
        </m:r>
        <m:d>
          <m:dPr>
            <m:ctrlPr>
              <w:rPr>
                <w:rFonts w:ascii="Cambria Math" w:hAnsi="Cambria Math"/>
                <w:i/>
              </w:rPr>
            </m:ctrlPr>
          </m:dPr>
          <m:e>
            <m:r>
              <w:rPr>
                <w:rFonts w:ascii="Cambria Math" w:hAnsi="Cambria Math"/>
              </w:rPr>
              <m:t>λ+1</m:t>
            </m:r>
          </m:e>
        </m:d>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-(λ+1)</m:t>
            </m:r>
          </m:sup>
        </m:sSubSup>
        <m:sSup>
          <m:sSupPr>
            <m:ctrlPr>
              <w:rPr>
                <w:rFonts w:ascii="Cambria Math" w:hAnsi="Cambria Math"/>
                <w:i/>
              </w:rPr>
            </m:ctrlPr>
          </m:sSupPr>
          <m:e>
            <m:r>
              <w:rPr>
                <w:rFonts w:ascii="Cambria Math" w:hAnsi="Cambria Math"/>
              </w:rPr>
              <m:t>m</m:t>
            </m:r>
          </m:e>
          <m:sup>
            <m:r>
              <w:rPr>
                <w:rFonts w:ascii="Cambria Math" w:hAnsi="Cambria Math"/>
              </w:rPr>
              <m:t>λ</m:t>
            </m:r>
          </m:sup>
        </m:sSup>
      </m:oMath>
      <w:r w:rsidR="00BD78B7">
        <w:t>,</w:t>
      </w:r>
      <w:r w:rsidR="0073111C">
        <w:tab/>
        <w:t>(3)</w:t>
      </w:r>
    </w:p>
    <w:p w14:paraId="7A866374" w14:textId="0F9FCB2E" w:rsidR="00C32436" w:rsidRDefault="0073111C">
      <w:pPr>
        <w:pStyle w:val="Body"/>
        <w:spacing w:line="480" w:lineRule="auto"/>
      </w:pPr>
      <w:r>
        <w:t xml:space="preserve">where </w:t>
      </w:r>
      <w:proofErr w:type="spellStart"/>
      <w:r>
        <w:rPr>
          <w:i/>
          <w:iCs/>
        </w:rPr>
        <w:t>f</w:t>
      </w:r>
      <w:r w:rsidR="00E17EF7">
        <w:rPr>
          <w:i/>
          <w:iCs/>
          <w:vertAlign w:val="subscript"/>
        </w:rPr>
        <w:t>P</w:t>
      </w:r>
      <w:proofErr w:type="spellEnd"/>
      <w:r>
        <w:rPr>
          <w:i/>
          <w:iCs/>
        </w:rPr>
        <w:t>(m)</w:t>
      </w:r>
      <w:r>
        <w:t xml:space="preserve"> is the frequency of individual plants of mass </w:t>
      </w:r>
      <w:r>
        <w:rPr>
          <w:i/>
          <w:iCs/>
        </w:rPr>
        <w:t>m</w:t>
      </w:r>
      <w:r>
        <w:t xml:space="preserve">, </w:t>
      </w:r>
      <w:r>
        <w:rPr>
          <w:i/>
          <w:iCs/>
        </w:rPr>
        <w:t>m</w:t>
      </w:r>
      <w:r>
        <w:rPr>
          <w:i/>
          <w:iCs/>
          <w:vertAlign w:val="subscript"/>
        </w:rPr>
        <w:t>0</w:t>
      </w:r>
      <w:r>
        <w:t xml:space="preserve"> is the minimum </w:t>
      </w:r>
      <w:r w:rsidR="00BD78B7">
        <w:t xml:space="preserve">plant </w:t>
      </w:r>
      <w:r>
        <w:t xml:space="preserve">size (which depends on the sampling design), and </w:t>
      </w:r>
      <w:r>
        <w:rPr>
          <w:i/>
          <w:iCs/>
        </w:rPr>
        <w:t>λ</w:t>
      </w:r>
      <w:r>
        <w:t xml:space="preserve"> is the scaling exponent that describes the decline of abundance with mass. </w:t>
      </w:r>
      <w:r w:rsidR="00511AC8">
        <w:t xml:space="preserve">Importantly, the derivation of the Pareto distribution also implies that </w:t>
      </w:r>
      <w:r w:rsidR="00511AC8">
        <w:rPr>
          <w:i/>
          <w:iCs/>
        </w:rPr>
        <w:t>λ</w:t>
      </w:r>
      <w:r w:rsidR="00511AC8">
        <w:t xml:space="preserve"> = –</w:t>
      </w:r>
      <w:r w:rsidR="00511AC8">
        <w:rPr>
          <w:i/>
          <w:iCs/>
        </w:rPr>
        <w:t xml:space="preserve">a – d/c, </w:t>
      </w:r>
      <w:r w:rsidR="00511AC8">
        <w:t>and assumes that the growth and mortality scaling exponents sum to one</w:t>
      </w:r>
      <w:r w:rsidR="00511AC8">
        <w:rPr>
          <w:i/>
          <w:iCs/>
        </w:rPr>
        <w:t xml:space="preserve"> </w:t>
      </w:r>
      <w:r w:rsidR="00511AC8">
        <w:t>(</w:t>
      </w:r>
      <w:r w:rsidR="00511AC8">
        <w:rPr>
          <w:i/>
          <w:iCs/>
        </w:rPr>
        <w:t>a</w:t>
      </w:r>
      <w:r w:rsidR="00511AC8">
        <w:t xml:space="preserve"> + </w:t>
      </w:r>
      <w:r w:rsidR="00511AC8">
        <w:rPr>
          <w:i/>
          <w:iCs/>
        </w:rPr>
        <w:t xml:space="preserve">b </w:t>
      </w:r>
      <w:r w:rsidR="00511AC8">
        <w:t xml:space="preserve">= 1) </w:t>
      </w:r>
      <w:r w:rsidR="00511AC8">
        <w:fldChar w:fldCharType="begin"/>
      </w:r>
      <w:r w:rsidR="00511AC8">
        <w:instrText xml:space="preserve"> ADDIN ZOTERO_ITEM CSL_CITATION {"citationID":"a2155sah8p0","properties":{"formattedCitation":"(Muller-Landau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511AC8">
        <w:fldChar w:fldCharType="separate"/>
      </w:r>
      <w:r w:rsidR="00511AC8">
        <w:rPr>
          <w:noProof/>
        </w:rPr>
        <w:t>(Muller-Landau et al. 2006b)</w:t>
      </w:r>
      <w:r w:rsidR="00511AC8">
        <w:fldChar w:fldCharType="end"/>
      </w:r>
      <w:r>
        <w:t xml:space="preserve"> </w:t>
      </w:r>
      <w:r w:rsidR="00C567E9">
        <w:t>which conforms with metabolic scaling theory</w:t>
      </w:r>
      <w:r>
        <w:t xml:space="preserve">. </w:t>
      </w:r>
    </w:p>
    <w:p w14:paraId="10A24BDC" w14:textId="2BB44236" w:rsidR="00C32436" w:rsidRDefault="00BD78B7">
      <w:pPr>
        <w:pStyle w:val="Body"/>
        <w:spacing w:line="480" w:lineRule="auto"/>
        <w:ind w:firstLine="720"/>
      </w:pPr>
      <w:r>
        <w:t>Applications of m</w:t>
      </w:r>
      <w:r w:rsidR="0073111C">
        <w:t xml:space="preserve">etabolic scaling theory </w:t>
      </w:r>
      <w:r>
        <w:t>frequently assume</w:t>
      </w:r>
      <w:r w:rsidR="0073111C">
        <w:t xml:space="preserve"> particular values for the scaling exponents of growth (</w:t>
      </w:r>
      <w:r w:rsidR="0073111C">
        <w:rPr>
          <w:i/>
          <w:iCs/>
        </w:rPr>
        <w:t xml:space="preserve">a </w:t>
      </w:r>
      <w:r w:rsidR="0073111C">
        <w:t>= ¾) and mortality (</w:t>
      </w:r>
      <w:r w:rsidR="0073111C">
        <w:rPr>
          <w:i/>
          <w:iCs/>
        </w:rPr>
        <w:t>b</w:t>
      </w:r>
      <w:r>
        <w:t xml:space="preserve"> = -¼). </w:t>
      </w:r>
      <w:r w:rsidR="00C567E9">
        <w:t>Based on an empirically observed -2 scaling exponent for tree diameters</w:t>
      </w:r>
      <w:r>
        <w:t xml:space="preserve">, </w:t>
      </w:r>
      <w:proofErr w:type="spellStart"/>
      <w:r w:rsidR="00C567E9">
        <w:t>Enquist</w:t>
      </w:r>
      <w:proofErr w:type="spellEnd"/>
      <w:r w:rsidR="00C567E9">
        <w:t xml:space="preserve"> and </w:t>
      </w:r>
      <w:proofErr w:type="spellStart"/>
      <w:r w:rsidR="00C567E9">
        <w:t>Niklas</w:t>
      </w:r>
      <w:proofErr w:type="spellEnd"/>
      <w:r w:rsidR="00C567E9">
        <w:t xml:space="preserve"> (2001)</w:t>
      </w:r>
      <w:r w:rsidR="0073111C">
        <w:t xml:space="preserve"> </w:t>
      </w:r>
      <w:r w:rsidR="00C567E9">
        <w:t xml:space="preserve">derived </w:t>
      </w:r>
      <w:r w:rsidR="0073111C">
        <w:t>a</w:t>
      </w:r>
      <w:r w:rsidR="00C567E9">
        <w:t xml:space="preserve"> mass distribution exponent of </w:t>
      </w:r>
      <w:r w:rsidR="0073111C">
        <w:rPr>
          <w:i/>
          <w:iCs/>
        </w:rPr>
        <w:t xml:space="preserve">λ </w:t>
      </w:r>
      <w:r w:rsidR="0073111C">
        <w:t>= -¾</w:t>
      </w:r>
      <w:r w:rsidR="00C567E9">
        <w:t xml:space="preserve">. </w:t>
      </w:r>
      <w:r w:rsidR="00511AC8">
        <w:t>However,</w:t>
      </w:r>
      <w:r w:rsidR="0073111C">
        <w:t xml:space="preserve"> because </w:t>
      </w:r>
      <w:r w:rsidR="00CA2710">
        <w:t xml:space="preserve">individual </w:t>
      </w:r>
      <w:r w:rsidR="0073111C">
        <w:t>size distributions are probability density functions and tree diameters (</w:t>
      </w:r>
      <w:r w:rsidR="0073111C">
        <w:rPr>
          <w:i/>
          <w:iCs/>
        </w:rPr>
        <w:t>D</w:t>
      </w:r>
      <w:r w:rsidR="0073111C">
        <w:t xml:space="preserve">) scale with mass as </w:t>
      </w:r>
      <w:r w:rsidR="0073111C">
        <w:rPr>
          <w:i/>
          <w:iCs/>
        </w:rPr>
        <w:t>m</w:t>
      </w:r>
      <w:r w:rsidR="0073111C">
        <w:t xml:space="preserve"> ∝ </w:t>
      </w:r>
      <w:r w:rsidR="0073111C">
        <w:rPr>
          <w:i/>
          <w:iCs/>
        </w:rPr>
        <w:t>D</w:t>
      </w:r>
      <w:r w:rsidR="0073111C">
        <w:rPr>
          <w:vertAlign w:val="superscript"/>
        </w:rPr>
        <w:t>8/3</w:t>
      </w:r>
      <w:r w:rsidR="0073111C">
        <w:t xml:space="preserve">, the -2 diameter exponent corresponds to a mass exponent of -11/8 </w:t>
      </w:r>
      <w:r w:rsidR="00C567E9">
        <w:t xml:space="preserve">rather than -3/4 </w:t>
      </w:r>
      <w:r w:rsidR="0073111C">
        <w:t>due to the changing dimensions of the variables</w:t>
      </w:r>
      <w:r w:rsidR="00511AC8">
        <w:t xml:space="preserve"> </w:t>
      </w:r>
      <w:r w:rsidR="00511AC8">
        <w:fldChar w:fldCharType="begin"/>
      </w:r>
      <w:r w:rsidR="00511AC8">
        <w:instrText xml:space="preserve"> ADDIN ZOTERO_ITEM CSL_CITATION {"citationID":"a6lj2fs7e3","properties":{"formattedCitation":"(Stegen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(Stegen and White 2008)</w:t>
      </w:r>
      <w:r w:rsidR="00511AC8">
        <w:fldChar w:fldCharType="end"/>
      </w:r>
      <w:r w:rsidR="0073111C">
        <w:t xml:space="preserve">. While </w:t>
      </w:r>
      <w:proofErr w:type="spellStart"/>
      <w:r w:rsidR="0073111C">
        <w:t>Enquist</w:t>
      </w:r>
      <w:proofErr w:type="spellEnd"/>
      <w:r w:rsidR="0073111C">
        <w:t xml:space="preserve"> and </w:t>
      </w:r>
      <w:proofErr w:type="spellStart"/>
      <w:r w:rsidR="0073111C">
        <w:t>Niklas</w:t>
      </w:r>
      <w:proofErr w:type="spellEnd"/>
      <w:r w:rsidR="0073111C">
        <w:t xml:space="preserve"> (2001) supported the Pareto distribution for tree diameters with abundant data and simulations, subsequent debate in the literature regarding both the generality of the derived value for the exponent and the mechanistic underpinnings of the theory has led to the </w:t>
      </w:r>
      <w:r w:rsidR="00C567E9">
        <w:t>consideration</w:t>
      </w:r>
      <w:r w:rsidR="0073111C">
        <w:t xml:space="preserve"> of alternative models of plant community size distributions</w:t>
      </w:r>
      <w:r w:rsidR="00C567E9">
        <w:t>, including models based on demographic equilibrium theory</w:t>
      </w:r>
      <w:r w:rsidR="00E706D2">
        <w:fldChar w:fldCharType="begin"/>
      </w:r>
      <w:r w:rsidR="00E706D2">
        <w:instrText xml:space="preserve"> ADDIN ZOTERO_ITEM CSL_CITATION {"citationID":"a25sa3bthic","properties":{"formattedCitation":"(Coomes et al. 2003, Muller-Landau et al. 2006b, 2006a, Lai et al. 2013)","plainCitation":"(Coomes et al. 2003, Muller-Landau et al. 2006b, 2006a,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(Coomes et al. 2003, Muller-Landau et al. 2006b, 2006a, Lai et al. 2013)</w:t>
      </w:r>
      <w:r w:rsidR="00E706D2">
        <w:fldChar w:fldCharType="end"/>
      </w:r>
      <w:r w:rsidR="0073111C">
        <w:t>.</w:t>
      </w:r>
    </w:p>
    <w:p w14:paraId="3D44EDFF" w14:textId="75450B35" w:rsidR="00C32436" w:rsidRDefault="00C567E9">
      <w:pPr>
        <w:pStyle w:val="Body"/>
        <w:spacing w:line="480" w:lineRule="auto"/>
        <w:ind w:firstLine="720"/>
      </w:pPr>
      <w:r>
        <w:t>D</w:t>
      </w:r>
      <w:r w:rsidR="0073111C">
        <w:t>emographic equilibrium theor</w:t>
      </w:r>
      <w:r>
        <w:t>y assumes that mortality is</w:t>
      </w:r>
      <w:r w:rsidR="0073111C">
        <w:t xml:space="preserve"> a size-independent process (</w:t>
      </w:r>
      <w:r w:rsidR="0073111C">
        <w:rPr>
          <w:i/>
          <w:iCs/>
        </w:rPr>
        <w:t xml:space="preserve">i.e., </w:t>
      </w:r>
      <w:r w:rsidR="0073111C">
        <w:t xml:space="preserve">in equation 2, </w:t>
      </w:r>
      <w:r w:rsidR="0073111C">
        <w:rPr>
          <w:i/>
          <w:iCs/>
        </w:rPr>
        <w:t xml:space="preserve">b </w:t>
      </w:r>
      <w:r w:rsidR="0073111C">
        <w:t xml:space="preserve">= 0, so </w:t>
      </w:r>
      <w:r w:rsidR="0073111C">
        <w:rPr>
          <w:i/>
          <w:iCs/>
        </w:rPr>
        <w:t>z</w:t>
      </w:r>
      <w:r w:rsidR="0073111C">
        <w:t>(</w:t>
      </w:r>
      <w:r w:rsidR="0073111C">
        <w:rPr>
          <w:i/>
          <w:iCs/>
        </w:rPr>
        <w:t>m</w:t>
      </w:r>
      <w:r w:rsidR="0073111C">
        <w:t xml:space="preserve">) = </w:t>
      </w:r>
      <w:r w:rsidR="0073111C">
        <w:rPr>
          <w:i/>
          <w:iCs/>
        </w:rPr>
        <w:t>d</w:t>
      </w:r>
      <w:r>
        <w:t>, a constant). G</w:t>
      </w:r>
      <w:r w:rsidR="0073111C">
        <w:t>rowth is still assumed to vary as a power function of mass, as in equation 1. The resulting W</w:t>
      </w:r>
      <w:r w:rsidR="00E706D2">
        <w:t xml:space="preserve">eibull distribution </w:t>
      </w:r>
      <w:r w:rsidR="00E706D2">
        <w:fldChar w:fldCharType="begin"/>
      </w:r>
      <w:r w:rsidR="00E706D2">
        <w:instrText xml:space="preserve"> ADDIN ZOTERO_ITEM CSL_CITATION {"citationID":"ap3o2alnk7","properties":{"formattedCitation":"(Muller-Landau et al. 2006b, Lai et al. 2013)","plainCitation":"(Muller-Landau et al. 2006b, Lai et al. 2013)"},"citationItems":[{"id":7020,"uris":["http://zotero.org/users/4284391/items/46896X69"],"uri":["http://zotero.org/users/4284391/items/46896X69"],"itemData":{"id":7020,"type":"article-journal","title":"Comparing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(Muller-Landau et al. 2006b, Lai et al. 2013)</w:t>
      </w:r>
      <w:r w:rsidR="00E706D2">
        <w:fldChar w:fldCharType="end"/>
      </w:r>
      <w:r>
        <w:t xml:space="preserve"> is defined as</w:t>
      </w:r>
      <w:r w:rsidR="0073111C">
        <w:t>:</w:t>
      </w:r>
    </w:p>
    <w:p w14:paraId="186B1686" w14:textId="2578F392" w:rsidR="00C32436" w:rsidRDefault="00DA2760">
      <w:pPr>
        <w:pStyle w:val="Body"/>
        <w:spacing w:line="480" w:lineRule="auto"/>
        <w:ind w:firstLine="720"/>
        <w:jc w:val="center"/>
      </w:pP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βη</m:t>
            </m:r>
            <m:sSup>
              <m:sSupPr>
                <m:ctrlPr>
                  <w:rPr>
                    <w:rFonts w:ascii="Cambria Math" w:hAnsi="Cambria Math"/>
                    <w:i/>
                  </w:rPr>
                </m:ctrlPr>
              </m:sSupPr>
              <m:e>
                <m:r>
                  <w:rPr>
                    <w:rFonts w:ascii="Cambria Math" w:hAnsi="Cambria Math"/>
                  </w:rPr>
                  <m:t>m</m:t>
                </m:r>
              </m:e>
              <m:sup>
                <m:r>
                  <w:rPr>
                    <w:rFonts w:ascii="Cambria Math" w:hAnsi="Cambria Math"/>
                  </w:rPr>
                  <m:t>-a</m:t>
                </m:r>
              </m:sup>
            </m:sSup>
            <m:r>
              <m:rPr>
                <m:sty m:val="p"/>
              </m:rPr>
              <w:rPr>
                <w:rFonts w:ascii="Cambria Math" w:hAnsi="Cambria Math"/>
              </w:rPr>
              <m:t>exp⁡</m:t>
            </m:r>
            <m:r>
              <w:rPr>
                <w:rFonts w:ascii="Cambria Math" w:hAnsi="Cambria Math"/>
              </w:rPr>
              <m:t>(-η</m:t>
            </m:r>
            <m:sSup>
              <m:sSupPr>
                <m:ctrlPr>
                  <w:rPr>
                    <w:rFonts w:ascii="Cambria Math" w:hAnsi="Cambria Math"/>
                    <w:i/>
                  </w:rPr>
                </m:ctrlPr>
              </m:sSupPr>
              <m:e>
                <m:r>
                  <w:rPr>
                    <w:rFonts w:ascii="Cambria Math" w:hAnsi="Cambria Math"/>
                  </w:rPr>
                  <m:t>m</m:t>
                </m:r>
              </m:e>
              <m:sup>
                <m:r>
                  <w:rPr>
                    <w:rFonts w:ascii="Cambria Math" w:hAnsi="Cambria Math"/>
                  </w:rPr>
                  <m:t>β</m:t>
                </m:r>
              </m:sup>
            </m:sSup>
            <m:r>
              <w:rPr>
                <w:rFonts w:ascii="Cambria Math" w:hAnsi="Cambria Math"/>
              </w:rPr>
              <m:t>)</m:t>
            </m:r>
          </m:num>
          <m:den>
            <m:r>
              <m:rPr>
                <m:sty m:val="p"/>
              </m:rPr>
              <w:rPr>
                <w:rFonts w:ascii="Cambria Math" w:hAnsi="Cambria Math"/>
              </w:rPr>
              <m:t>exp⁡</m:t>
            </m:r>
            <m:r>
              <w:rPr>
                <w:rFonts w:ascii="Cambria Math" w:hAnsi="Cambria Math"/>
              </w:rPr>
              <m:t>(-η</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β</m:t>
                </m:r>
              </m:sup>
            </m:sSubSup>
            <m:r>
              <w:rPr>
                <w:rFonts w:ascii="Cambria Math" w:hAnsi="Cambria Math"/>
              </w:rPr>
              <m:t>)</m:t>
            </m:r>
          </m:den>
        </m:f>
      </m:oMath>
      <w:r w:rsidR="00E17EF7">
        <w:t>,</w:t>
      </w:r>
      <w:r w:rsidR="0073111C">
        <w:tab/>
        <w:t>(4)</w:t>
      </w:r>
    </w:p>
    <w:p w14:paraId="5F4BBFB6" w14:textId="187E9A2F" w:rsidR="00C32436" w:rsidRDefault="0073111C">
      <w:pPr>
        <w:pStyle w:val="Body"/>
        <w:spacing w:line="480" w:lineRule="auto"/>
      </w:pPr>
      <w:r>
        <w:t xml:space="preserve">where </w:t>
      </w:r>
      <w:proofErr w:type="spellStart"/>
      <w:r>
        <w:rPr>
          <w:i/>
          <w:iCs/>
        </w:rPr>
        <w:t>f</w:t>
      </w:r>
      <w:r w:rsidR="00E17EF7">
        <w:rPr>
          <w:i/>
          <w:iCs/>
          <w:vertAlign w:val="subscript"/>
        </w:rPr>
        <w:t>W</w:t>
      </w:r>
      <w:proofErr w:type="spellEnd"/>
      <w:r>
        <w:t>(</w:t>
      </w:r>
      <w:r>
        <w:rPr>
          <w:i/>
          <w:iCs/>
        </w:rPr>
        <w:t>m</w:t>
      </w:r>
      <w:r>
        <w:t xml:space="preserve">) is the probability density function, </w:t>
      </w:r>
      <w:r w:rsidR="001048CF">
        <w:rPr>
          <w:i/>
        </w:rPr>
        <w:sym w:font="Symbol" w:char="F068"/>
      </w:r>
      <w:r>
        <w:t xml:space="preserve"> = </w:t>
      </w:r>
      <w:r w:rsidRPr="00CA2710">
        <w:rPr>
          <w:i/>
        </w:rPr>
        <w:t>d</w:t>
      </w:r>
      <w:r>
        <w:t>/(</w:t>
      </w:r>
      <w:r w:rsidRPr="00CA2710">
        <w:rPr>
          <w:i/>
        </w:rPr>
        <w:t>c</w:t>
      </w:r>
      <w:r>
        <w:t>(1-</w:t>
      </w:r>
      <w:r w:rsidRPr="00CA2710">
        <w:rPr>
          <w:i/>
        </w:rPr>
        <w:t>a</w:t>
      </w:r>
      <w:r>
        <w:t xml:space="preserve">)) is the scale parameter, and </w:t>
      </w:r>
      <w:r w:rsidR="001048CF" w:rsidRPr="001048CF">
        <w:rPr>
          <w:i/>
        </w:rPr>
        <w:sym w:font="Symbol" w:char="F062"/>
      </w:r>
      <w:r w:rsidR="001048CF">
        <w:t xml:space="preserve"> = </w:t>
      </w:r>
      <w:r>
        <w:t xml:space="preserve">1 – </w:t>
      </w:r>
      <w:r>
        <w:rPr>
          <w:i/>
          <w:iCs/>
        </w:rPr>
        <w:t xml:space="preserve">a </w:t>
      </w:r>
      <w:r>
        <w:t>is the shape parameter. The Weibull distribution was shown to be the best fit (and better than the Pareto distribution) for data from 14 large-scale tropical forest pl</w:t>
      </w:r>
      <w:r w:rsidR="00E706D2">
        <w:t xml:space="preserve">ots </w:t>
      </w:r>
      <w:r w:rsidR="00E706D2">
        <w:fldChar w:fldCharType="begin"/>
      </w:r>
      <w:r w:rsidR="00E706D2">
        <w:instrText xml:space="preserve"> ADDIN ZOTERO_ITEM CSL_CITATION {"citationID":"a2if55e8ru9","properties":{"formattedCitation":"(Muller-Landau et al. 2006a)","plainCitation":"(Muller-Landau et al. 2006a)"},"citationItems":[{"id":7019,"uris":["http://zotero.org/users/4284391/items/T4GJGDVN"],"uri":["http://zotero.org/users/4284391/items/T4GJGDVN"],"itemData":{"id":7019,"type":"article-journal","title":"Testing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E706D2">
        <w:fldChar w:fldCharType="separate"/>
      </w:r>
      <w:r w:rsidR="00E706D2">
        <w:rPr>
          <w:noProof/>
        </w:rPr>
        <w:t>(Muller-Landau et al. 2006a)</w:t>
      </w:r>
      <w:r w:rsidR="00E706D2">
        <w:fldChar w:fldCharType="end"/>
      </w:r>
      <w:r>
        <w:t xml:space="preserve">. </w:t>
      </w:r>
    </w:p>
    <w:p w14:paraId="331B7003" w14:textId="16BFF165" w:rsidR="00E22DCA" w:rsidRPr="00E22DCA" w:rsidRDefault="00E22DCA">
      <w:pPr>
        <w:pStyle w:val="Body"/>
        <w:spacing w:line="480" w:lineRule="auto"/>
        <w:rPr>
          <w:i/>
        </w:rPr>
      </w:pPr>
      <w:r>
        <w:rPr>
          <w:i/>
        </w:rPr>
        <w:t xml:space="preserve">Models of Cross-Community </w:t>
      </w:r>
      <w:r w:rsidR="007A583E">
        <w:rPr>
          <w:i/>
        </w:rPr>
        <w:t>Scaling</w:t>
      </w:r>
      <w:r>
        <w:rPr>
          <w:i/>
        </w:rPr>
        <w:t xml:space="preserve"> Relationships in Plants</w:t>
      </w:r>
    </w:p>
    <w:p w14:paraId="2C6EE17E" w14:textId="7578A718" w:rsidR="00F4496A" w:rsidRDefault="00E22DCA" w:rsidP="00F4496A">
      <w:pPr>
        <w:pStyle w:val="Body"/>
        <w:spacing w:line="480" w:lineRule="auto"/>
        <w:ind w:firstLine="720"/>
      </w:pPr>
      <w:r>
        <w:t>Cross-commu</w:t>
      </w:r>
      <w:r w:rsidR="00F4496A">
        <w:t xml:space="preserve">nity </w:t>
      </w:r>
      <w:r w:rsidR="007A583E">
        <w:t>scaling</w:t>
      </w:r>
      <w:r w:rsidR="00F4496A">
        <w:t xml:space="preserve"> relationships, whether in multi-species forest communities or single-species self-thinning populations, generally take the form of a power-law,</w:t>
      </w:r>
    </w:p>
    <w:p w14:paraId="44F5C61E" w14:textId="2CE0526B" w:rsidR="00F4496A" w:rsidRDefault="00DA2760" w:rsidP="00F4496A">
      <w:pPr>
        <w:pStyle w:val="Body"/>
        <w:spacing w:line="480" w:lineRule="auto"/>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γ</m:t>
            </m:r>
          </m:sup>
        </m:sSup>
      </m:oMath>
      <w:r w:rsidR="00F4496A">
        <w:t>,</w:t>
      </w:r>
      <w:r w:rsidR="00F4496A">
        <w:tab/>
        <w:t>(5)</w:t>
      </w:r>
    </w:p>
    <w:p w14:paraId="39C528AE" w14:textId="77777777" w:rsidR="00AB67D6" w:rsidRDefault="00F4496A" w:rsidP="004E4E00">
      <w:pPr>
        <w:pStyle w:val="Body"/>
        <w:spacing w:line="480" w:lineRule="auto"/>
      </w:pPr>
      <w:r>
        <w:t xml:space="preserve">where </w:t>
      </w:r>
      <w:proofErr w:type="spellStart"/>
      <w:r>
        <w:rPr>
          <w:i/>
        </w:rPr>
        <w:t>N</w:t>
      </w:r>
      <w:r>
        <w:rPr>
          <w:i/>
          <w:vertAlign w:val="subscript"/>
        </w:rPr>
        <w:t>tot</w:t>
      </w:r>
      <w:proofErr w:type="spellEnd"/>
      <w:r>
        <w:rPr>
          <w:i/>
        </w:rPr>
        <w:t xml:space="preserve"> </w:t>
      </w:r>
      <w:r>
        <w:t>is the total plant density of the stand (number area</w:t>
      </w:r>
      <w:r>
        <w:rPr>
          <w:vertAlign w:val="superscript"/>
        </w:rPr>
        <w:t>-1</w:t>
      </w:r>
      <w:r>
        <w:t xml:space="preserve">), </w:t>
      </w:r>
      <m:oMath>
        <m:acc>
          <m:accPr>
            <m:chr m:val="̅"/>
            <m:ctrlPr>
              <w:rPr>
                <w:rFonts w:ascii="Cambria Math" w:hAnsi="Cambria Math"/>
                <w:i/>
              </w:rPr>
            </m:ctrlPr>
          </m:accPr>
          <m:e>
            <m:r>
              <w:rPr>
                <w:rFonts w:ascii="Cambria Math" w:hAnsi="Cambria Math"/>
              </w:rPr>
              <m:t>M</m:t>
            </m:r>
          </m:e>
        </m:acc>
      </m:oMath>
      <w:r w:rsidR="004E4E00">
        <w:t xml:space="preserve"> is mean plant mass, </w:t>
      </w:r>
      <w:r w:rsidR="004E4E00">
        <w:rPr>
          <w:i/>
        </w:rPr>
        <w:t>n</w:t>
      </w:r>
      <w:r w:rsidR="004E4E00">
        <w:t xml:space="preserve"> is the scaling coefficient (number mass</w:t>
      </w:r>
      <w:r w:rsidR="004E4E00" w:rsidRPr="004E4E00">
        <w:rPr>
          <w:vertAlign w:val="superscript"/>
        </w:rPr>
        <w:t>-</w:t>
      </w:r>
      <w:r w:rsidR="004E4E00">
        <w:rPr>
          <w:vertAlign w:val="superscript"/>
        </w:rPr>
        <w:sym w:font="Symbol" w:char="F020"/>
      </w:r>
      <w:r w:rsidR="004E4E00" w:rsidRPr="004E4E00">
        <w:rPr>
          <w:sz w:val="32"/>
          <w:szCs w:val="32"/>
          <w:vertAlign w:val="superscript"/>
        </w:rPr>
        <w:sym w:font="Symbol" w:char="F067"/>
      </w:r>
      <w:r w:rsidR="004E4E00">
        <w:t xml:space="preserve">), and </w:t>
      </w:r>
      <w:r w:rsidR="004E4E00">
        <w:sym w:font="Symbol" w:char="F067"/>
      </w:r>
      <w:r w:rsidR="004E4E00">
        <w:t xml:space="preserve"> is the scaling exponent. M</w:t>
      </w:r>
      <w:r>
        <w:t xml:space="preserve">uch of the theoretical work </w:t>
      </w:r>
      <w:r w:rsidR="004E4E00">
        <w:t>on cross-community size density relationships</w:t>
      </w:r>
      <w:r>
        <w:t xml:space="preserve"> is focused on the values of the scaling exponent</w:t>
      </w:r>
      <w:r w:rsidR="004E4E00">
        <w:t xml:space="preserve"> </w:t>
      </w:r>
      <w:r w:rsidR="004E4E00">
        <w:sym w:font="Symbol" w:char="F067"/>
      </w:r>
      <w:r>
        <w:t>.</w:t>
      </w:r>
      <w:r w:rsidR="004E4E00">
        <w:t xml:space="preserve"> </w:t>
      </w:r>
    </w:p>
    <w:p w14:paraId="7D028D02" w14:textId="43445B0C" w:rsidR="00E22DCA" w:rsidRDefault="004E4E00" w:rsidP="00ED7A4B">
      <w:pPr>
        <w:pStyle w:val="Body"/>
        <w:spacing w:line="480" w:lineRule="auto"/>
        <w:ind w:firstLine="720"/>
      </w:pPr>
      <w:r>
        <w:t xml:space="preserve">Early models of </w:t>
      </w:r>
      <w:r w:rsidR="00A205BD">
        <w:t>self-thinning</w:t>
      </w:r>
      <w:r>
        <w:t xml:space="preserve"> based on geometric </w:t>
      </w:r>
      <w:r w:rsidR="00022CD2">
        <w:t>isometry of plant form</w:t>
      </w:r>
      <w:r>
        <w:t xml:space="preserve"> </w:t>
      </w:r>
      <w:r w:rsidR="00ED7A4B">
        <w:fldChar w:fldCharType="begin"/>
      </w:r>
      <w:r w:rsidR="00ED7A4B">
        <w:instrText xml:space="preserve"> ADDIN ZOTERO_ITEM CSL_CITATION {"citationID":"avtop063uf","properties":{"formattedCitation":"(Yoda et al. 1963, Westoby 1984)","plainCitation":"(Yoda et al. 1963, Westoby 1984)"},"citationItems":[{"id":11311,"uris":["http://zotero.org/users/4284391/items/4A26QH9V"],"uri":["http://zotero.org/users/4284391/items/4A26QH9V"],"itemData":{"id":11311,"type":"article-journal","title":"Intraspecific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10897,"uris":["http://zotero.org/users/4284391/items/HM9RI88B"],"uri":["http://zotero.org/users/4284391/items/HM9RI88B"],"itemData":{"id":10897,"type":"article-journal","title":"The Self-Thinning Rule","container-title":"Advances in Ecological Research","page":"167-225","volume":"14","archive_location":"ISI:A1984ABQ2800004","shortTitle":"The Self-Thinning Rule","author":[{"family":"Westoby","given":"M."}],"issued":{"date-parts":[["1984"]]}}}],"schema":"https://github.com/citation-style-language/schema/raw/master/csl-citation.json"} </w:instrText>
      </w:r>
      <w:r w:rsidR="00ED7A4B">
        <w:fldChar w:fldCharType="separate"/>
      </w:r>
      <w:r w:rsidR="00ED7A4B">
        <w:rPr>
          <w:noProof/>
        </w:rPr>
        <w:t>(Yoda et al. 1963, Westoby 1984)</w:t>
      </w:r>
      <w:r w:rsidR="00ED7A4B">
        <w:fldChar w:fldCharType="end"/>
      </w:r>
      <w:r w:rsidR="00ED7A4B">
        <w:t xml:space="preserve"> </w:t>
      </w:r>
      <w:r>
        <w:t xml:space="preserve">predicted that </w:t>
      </w:r>
      <w:r>
        <w:sym w:font="Symbol" w:char="F067"/>
      </w:r>
      <w:r>
        <w:t xml:space="preserve"> = -</w:t>
      </w:r>
      <w:r w:rsidR="004A7946">
        <w:t xml:space="preserve"> 2/3 </w:t>
      </w:r>
      <w:r w:rsidR="00022CD2">
        <w:t xml:space="preserve">, but </w:t>
      </w:r>
      <w:r w:rsidR="00F0622C">
        <w:t>subsequent</w:t>
      </w:r>
      <w:r w:rsidR="00022CD2">
        <w:t xml:space="preserve"> models </w:t>
      </w:r>
      <w:r w:rsidR="00F0622C">
        <w:t>based on</w:t>
      </w:r>
      <w:r w:rsidR="00022CD2">
        <w:t xml:space="preserve"> </w:t>
      </w:r>
      <w:proofErr w:type="spellStart"/>
      <w:r w:rsidR="00022CD2">
        <w:t>allometric</w:t>
      </w:r>
      <w:proofErr w:type="spellEnd"/>
      <w:r w:rsidR="00022CD2">
        <w:t xml:space="preserve"> growth, in which plant form changes systematically with size </w:t>
      </w:r>
      <w:r w:rsidR="00ED7A4B">
        <w:fldChar w:fldCharType="begin"/>
      </w:r>
      <w:r w:rsidR="00ED7A4B">
        <w:instrText xml:space="preserve"> ADDIN ZOTERO_ITEM CSL_CITATION {"citationID":"ab1pfckbt1","properties":{"formattedCitation":"(Westoby 1977, White 1981, Weller 1987a, 1987b)","plainCitation":"(Westoby 1977, White 1981, Weller 1987a, 1987b)"},"citationItems":[{"id":10891,"uris":["http://zotero.org/users/4284391/items/37NUQ6LB"],"uri":["http://zotero.org/users/4284391/items/37NUQ6LB"],"itemData":{"id":10891,"type":"article-journal","title":"Self-Thinning Driven by Leaf Area Not by Weight","container-title":"Nature","page":"330-331","volume":"265","issue":"5592","archive_location":"ISI:A1977CT27300028","shortTitle":"Self-Thinning Driven by Leaf Area Not by Weight","journalAbbreviation":"Nature","author":[{"family":"Westoby","given":"M."}],"issued":{"date-parts":[["1977"]]}}},{"id":10944,"uris":["http://zotero.org/users/4284391/items/EBFFLYF2"],"uri":["http://zotero.org/users/4284391/items/EBFFLYF2"],"itemData":{"id":10944,"type":"article-journal","title":"The Allometric Interpretation of the Self-Thinning Rule","container-title":"Journal of Theoretical Biology","page":"475-500","volume":"89","issue":"3","archive_location":"ISI:A1981LK83900009","shortTitle":"The Allometric Interpretation of the Self-Thinning Rule","author":[{"family":"White","given":"J."}],"issued":{"date-parts":[["1981"]]}}},{"id":10841,"uris":["http://zotero.org/users/4284391/items/Y25CRW87"],"uri":["http://zotero.org/users/4284391/items/Y25CRW87"],"itemData":{"id":10841,"type":"article-journal","title":"A Reevaluation of the -3/2 Power Rule of Plant Self-Thinning","container-title":"Ecological Monographs","page":"23-43","volume":"57","issue":"1","archive_location":"ISI:A1987G433600002","shortTitle":"A Reevaluation of the -3/2 Power Rule of Plant Self-Thinning","author":[{"family":"Weller","given":"D. E."}],"issued":{"date-parts":[["1987",3]]}}},{"id":10840,"uris":["http://zotero.org/users/4284391/items/CGGR2NFQ"],"uri":["http://zotero.org/users/4284391/items/CGGR2NFQ"],"itemData":{"id":10840,"type":"article-journal","title":"Self-Thinning Exponent Correlated with Allometric Measures of Plant Geometry","container-title":"Ecology","page":"813-821","volume":"68","issue":"4","archive_location":"ISI:A1987J421300008","shortTitle":"Self-Thinning Exponent Correlated with Allometric Measures of Plant Geometry","author":[{"family":"Weller","given":"D. E."}],"issued":{"date-parts":[["1987",8]]}}}],"schema":"https://github.com/citation-style-language/schema/raw/master/csl-citation.json"} </w:instrText>
      </w:r>
      <w:r w:rsidR="00ED7A4B">
        <w:fldChar w:fldCharType="separate"/>
      </w:r>
      <w:r w:rsidR="00ED7A4B">
        <w:rPr>
          <w:noProof/>
        </w:rPr>
        <w:t>(Westoby 1977, White 1981, Weller 1987a, 1987b)</w:t>
      </w:r>
      <w:r w:rsidR="00ED7A4B">
        <w:fldChar w:fldCharType="end"/>
      </w:r>
      <w:r w:rsidR="00ED7A4B">
        <w:t xml:space="preserve"> </w:t>
      </w:r>
      <w:r w:rsidR="00F0622C">
        <w:t>better explained the observed variation in self-thin</w:t>
      </w:r>
      <w:r w:rsidR="00B014CD">
        <w:t>ning</w:t>
      </w:r>
      <w:r w:rsidR="00096227">
        <w:t xml:space="preserve"> and interspecific size density</w:t>
      </w:r>
      <w:r w:rsidR="00B014CD">
        <w:t xml:space="preserve"> relationship</w:t>
      </w:r>
      <w:r w:rsidR="00096227">
        <w:t>s</w:t>
      </w:r>
      <w:r w:rsidR="00AB67D6">
        <w:t>.</w:t>
      </w:r>
      <w:r w:rsidR="00096227">
        <w:t xml:space="preserve"> More recently, alternative explanations based on resource use and the </w:t>
      </w:r>
      <w:proofErr w:type="spellStart"/>
      <w:r w:rsidR="00096227">
        <w:t>allometric</w:t>
      </w:r>
      <w:proofErr w:type="spellEnd"/>
      <w:r w:rsidR="00096227">
        <w:t xml:space="preserve"> scaling of metabolic rate have been proposed</w:t>
      </w:r>
      <w:r w:rsidR="00ED7A4B">
        <w:t xml:space="preserve"> </w:t>
      </w:r>
      <w:r w:rsidR="00ED7A4B">
        <w:fldChar w:fldCharType="begin"/>
      </w:r>
      <w:r w:rsidR="00ED7A4B">
        <w:instrText xml:space="preserve"> ADDIN ZOTERO_ITEM CSL_CITATION {"citationID":"a2a4sclb73","properties":{"formattedCitation":"(Enquist et al. 1998, Niklas et al. 2003)","plainCitation":"(Enquist et al. 1998, Niklas et al. 2003)"},"citationItems":[{"id":3030,"uris":["http://zotero.org/users/4284391/items/TR3ECW8K"],"uri":["http://zotero.org/users/4284391/items/TR3ECW8K"],"itemData":{"id":3030,"type":"article-journal","title":"Allometric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H."}],"issued":{"date-parts":[["2003",5]]}}}],"schema":"https://github.com/citation-style-language/schema/raw/master/csl-citation.json"} </w:instrText>
      </w:r>
      <w:r w:rsidR="00ED7A4B">
        <w:fldChar w:fldCharType="separate"/>
      </w:r>
      <w:r w:rsidR="00ED7A4B">
        <w:rPr>
          <w:noProof/>
        </w:rPr>
        <w:t>(Enquist et al. 1998, Niklas et al. 2003)</w:t>
      </w:r>
      <w:r w:rsidR="00ED7A4B">
        <w:fldChar w:fldCharType="end"/>
      </w:r>
      <w:r w:rsidR="00096227">
        <w:t>, which predic</w:t>
      </w:r>
      <w:r w:rsidR="004A7946">
        <w:t xml:space="preserve">ted </w:t>
      </w:r>
      <w:r w:rsidR="004A7946">
        <w:sym w:font="Symbol" w:char="F067"/>
      </w:r>
      <w:r w:rsidR="004A7946">
        <w:t xml:space="preserve"> = -¾ . However, that prediction depends on the assumption that plant metabolic rate scales as the ¾-power of plant mass, which may hold for large but not small plants</w:t>
      </w:r>
      <w:r w:rsidR="00ED7A4B">
        <w:t xml:space="preserve"> </w:t>
      </w:r>
      <w:r w:rsidR="00ED7A4B">
        <w:fldChar w:fldCharType="begin"/>
      </w:r>
      <w:r w:rsidR="00EE026E">
        <w:instrText xml:space="preserve"> ADDIN ZOTERO_ITEM CSL_CITATION {"citationID":"a1h9pfpg1rg","properties":{"formattedCitation":"(Reich et al. 2006, Enquist et al. 2007, Mori et al. 2010)","plainCitation":"(Reich et al. 2006, Enquist et al. 2007, Mori et al. 2010)"},"citationItems":[{"id":8510,"uris":["http://zotero.org/users/4284391/items/ZHSG6XP2"],"uri":["http://zotero.org/users/4284391/items/ZHSG6XP2"],"itemData":{"id":8510,"type":"article-journal","title":"Universal scaling of respiratory metabolism, size and nitrogen in plants","container-title":"Nature","page":"457-461","volume":"439","issue":"7075","archive_location":"ISI:000234859200043","abstract":"The scaling of respiratory metabolism to body size in animals is considered to be a fundamental law of nature(1-11), and there is substantial evidence for an approximate 3/4-power relation. Studies suggest that plant respiratory metabolism also scales as the 3/4-power of mass(12-14), and that higher plant and animal scaling follow similar rules owing to the predominance of fractal-like transport networks and associated allometric scaling(8-14). Here, however, using data obtained from about 500 laboratory and field-grown plants from 43 species and four experiments, we show that whole-plant respiration rate scales approximately isometrically ( scaling exponent approximate to 1) with total plant mass in individual experiments and has no common relation across all data. Moreover, consistent with theories about biochemically based physiological scaling(15-18), isometric scaling of whole-plant respiration rate to total nitrogen content is observed within and across all data sets, with a single relation common to all data. This isometric scaling is unaffected by growth conditions including variation in light, nitrogen availability, temperature and atmospheric CO2 concentration, and is similar within or among species or functional groups. These findings suggest that plants and animals follow different metabolic scaling relations, driven by distinct mechanisms.","DOI":"10.1038/Nature04282","ISSN":"0028-0836","shortTitle":"Universal scaling of respiratory metabolism, size and nitrogen in plants","language":"English","author":[{"family":"Reich","given":"P. B."},{"family":"Tjoelker","given":"M. G."},{"family":"Machado","given":"J. L."},{"family":"Oleksyn","given":"J."}],"issued":{"date-parts":[["2006",1,26]]}}},{"id":3028,"uris":["http://zotero.org/users/4284391/items/ZGVACSRB"],"uri":["http://zotero.org/users/4284391/items/ZGVACSRB"],"itemData":{"id":3028,"type":"article-journal","title":"Does the exception prove the rule?","container-title":"Nature","page":"E9-E10","volume":"445","issue":"7127","archive_location":"ISI:000243867300032","DOI":"10.1038/Nature05548","ISSN":"0028-0836","shortTitle":"Does the exception prove the rule?","language":"English","author":[{"family":"Enquist","given":"B. J."},{"family":"Allen","given":"A. P."},{"family":"Brown","given":"J. H."},{"family":"Gillooly","given":"J. F."},{"family":"Kerkhoff","given":"A. J."},{"family":"Niklas","given":"K. J."},{"family":"Price","given":"C. A."},{"family":"West","given":"G. B."}],"issued":{"date-parts":[["2007",2,1]]}}},{"id":11526,"uris":["http://zotero.org/users/4284391/items/CJGPFIEX"],"uri":["http://zotero.org/users/4284391/items/CJGPFIEX"],"itemData":{"id":11526,"type":"article-journal","title":"Mixed-power scaling of whole-plant respiration from seedlings to giant trees","container-title":"Proceedings of the National Academy of Sciences of the United States of America","page":"1447-1451","volume":"107","issue":"4","source":"Web of Science","abstract":"The scaling of respiratory metabolism with body mass is one of the most pervasive phenomena in biology. Using a single allometric equation to characterize empirical scaling relationships and to evaluate alternative hypotheses about mechanisms has been controversial. We developed a method to directly measure respiration of 271 whole plants, spanning nine orders of magnitude in body mass, from small seedlings to large trees, and from tropical to boreal ecosystems. Our measurements include the roots, which have often been ignored. Rather than a single power-law relationship, our data are fit by a biphasic, mixed-power function. The allometric exponent varies continuously from 1 in the smallest plants to 3/4 in larger saplings and trees. Therefore, our findings support the recent findings of Reich et al. [Reich PB, Tjoelker MG, Machado JL, Oleksyn J (2006) Universal scaling of respiratory metabolism, size, and nitrogen in plants. Nature 439: 457-461] and West, Brown, and Enquist [West GB, Brown JH, Enquist BJ (1997) A general model for the origin of allometric scaling laws in biology. Science 276: 122 - 126.]. The transition from linear to 3/4-power scaling may indicate fundamental physical and physiological constraints on the allocation of plant biomass between photosynthetic and nonphotosynthetic organs over the course of ontogenetic plant growth.","DOI":"10.1073/pnas.0902554107","ISSN":"0027-8424","note":"WOS:000273974600041","journalAbbreviation":"Proc. Natl. Acad. Sci. U. S. A.","language":"English","author":[{"family":"Mori","given":"Shigeta"},{"family":"Yamaji","given":"Keiko"},{"family":"Ishida","given":"Atsushi"},{"family":"Prokushkin","given":"Stanislav G."},{"family":"Masyagina","given":"Oxana V."},{"family":"Hagihara","given":"Akio"},{"family":"Hoque","given":"A. T. M. Rafiqul"},{"family":"Suwa","given":"Rempei"},{"family":"Osawa","given":"Akira"},{"family":"Nishizono","given":"Tomohiro"},{"family":"Ueda","given":"Tatsushiro"},{"family":"Kinjo","given":"Masaru"},{"family":"Miyagi","given":"Tsuyoshi"},{"family":"Kajimoto","given":"Takuya"},{"family":"Koike","given":"Takayoshi"},{"family":"Matsuura","given":"Yojiro"},{"family":"Toma","given":"Takeshi"},{"family":"Zyryanova","given":"Olga A."},{"family":"Abaimov","given":"Anatoly P."},{"family":"Awaya","given":"Yoshio"},{"family":"Araki","given":"Masatake G."},{"family":"Kawasaki","given":"Tatsuro"},{"family":"Chiba","given":"Yukihiro"},{"family":"Umari","given":"Marjnah"}],"issued":{"date-parts":[["2010",1,26]]}}}],"schema":"https://github.com/citation-style-language/schema/raw/master/csl-citation.json"} </w:instrText>
      </w:r>
      <w:r w:rsidR="00ED7A4B">
        <w:fldChar w:fldCharType="separate"/>
      </w:r>
      <w:r w:rsidR="00EE026E">
        <w:rPr>
          <w:noProof/>
        </w:rPr>
        <w:t>(Reich et al. 2006, Enquist et al. 2007, Mori et al. 2010)</w:t>
      </w:r>
      <w:r w:rsidR="00ED7A4B">
        <w:fldChar w:fldCharType="end"/>
      </w:r>
      <w:r w:rsidR="004A7946">
        <w:t>.</w:t>
      </w:r>
      <w:r w:rsidR="00594BBA">
        <w:t xml:space="preserve"> Most recently, Deng et al. (2012) demonstrated that both the biophysical models of plant packing in space and models based on the scaling of resource use can result in a prediction of </w:t>
      </w:r>
      <w:r w:rsidR="00594BBA">
        <w:sym w:font="Symbol" w:char="F067"/>
      </w:r>
      <w:r w:rsidR="00594BBA">
        <w:t xml:space="preserve"> = -¾, quite similar to the pattern they observe over a range of crop populations and forest stands spanning approximately 11 orders of magnitude in mean plant mass, </w:t>
      </w:r>
      <m:oMath>
        <m:acc>
          <m:accPr>
            <m:chr m:val="̅"/>
            <m:ctrlPr>
              <w:rPr>
                <w:rFonts w:ascii="Cambria Math" w:hAnsi="Cambria Math"/>
                <w:i/>
              </w:rPr>
            </m:ctrlPr>
          </m:accPr>
          <m:e>
            <m:r>
              <w:rPr>
                <w:rFonts w:ascii="Cambria Math" w:hAnsi="Cambria Math"/>
              </w:rPr>
              <m:t>M</m:t>
            </m:r>
          </m:e>
        </m:acc>
      </m:oMath>
      <w:r w:rsidR="00594BBA">
        <w:t>.</w:t>
      </w:r>
    </w:p>
    <w:p w14:paraId="78068952" w14:textId="4CA2BF84" w:rsidR="00C32436" w:rsidRDefault="0073111C">
      <w:pPr>
        <w:pStyle w:val="Body"/>
        <w:spacing w:line="480" w:lineRule="auto"/>
        <w:ind w:firstLine="720"/>
      </w:pPr>
      <w:r>
        <w:t xml:space="preserve">Here, we examine the </w:t>
      </w:r>
      <w:r w:rsidR="00C567E9">
        <w:t xml:space="preserve">individual size distributions and cross-community </w:t>
      </w:r>
      <w:r w:rsidR="007A583E">
        <w:t>scaling</w:t>
      </w:r>
      <w:r w:rsidR="00C567E9">
        <w:t xml:space="preserve"> relationship for</w:t>
      </w:r>
      <w:r>
        <w:t xml:space="preserve"> </w:t>
      </w:r>
      <w:r w:rsidR="00C567E9">
        <w:t>11</w:t>
      </w:r>
      <w:r>
        <w:t xml:space="preserve"> herbaceous and shrub-dominated communities </w:t>
      </w:r>
      <w:r w:rsidR="00335E3C">
        <w:t xml:space="preserve">and one forest </w:t>
      </w:r>
      <w:r>
        <w:t xml:space="preserve">using exhaustive surveys of hundreds to thousands of individual plants across a wide range of </w:t>
      </w:r>
      <w:r w:rsidR="00C567E9">
        <w:t xml:space="preserve">abiotic environments. </w:t>
      </w:r>
      <w:r>
        <w:t xml:space="preserve">Specifically, we ask: 1) which model </w:t>
      </w:r>
      <w:r w:rsidR="00335E3C">
        <w:t xml:space="preserve">(Pareto vs. Weibull) </w:t>
      </w:r>
      <w:r>
        <w:t xml:space="preserve">provides the best fit to </w:t>
      </w:r>
      <w:r w:rsidR="00335E3C">
        <w:t xml:space="preserve">the individual size distribution in each </w:t>
      </w:r>
      <w:r>
        <w:t xml:space="preserve">surveyed community, 2) whether ecologically similar communities </w:t>
      </w:r>
      <w:r w:rsidR="00335E3C">
        <w:t>share similar size distribution patterns</w:t>
      </w:r>
      <w:r>
        <w:t xml:space="preserve"> distinct from other community types, and 3) whether herbaceous and shrub-dominated communities follow the same </w:t>
      </w:r>
      <w:r w:rsidR="004779DF">
        <w:t xml:space="preserve">cross-community </w:t>
      </w:r>
      <w:r w:rsidR="00CA2710">
        <w:t>scaling</w:t>
      </w:r>
      <w:r w:rsidR="004779DF">
        <w:t xml:space="preserve"> relationship</w:t>
      </w:r>
      <w:r>
        <w:t xml:space="preserve"> </w:t>
      </w:r>
      <w:r w:rsidR="004779DF">
        <w:t>shared by</w:t>
      </w:r>
      <w:r>
        <w:t xml:space="preserve"> m</w:t>
      </w:r>
      <w:r w:rsidR="00335E3C">
        <w:t xml:space="preserve">ore extensively studied forests and </w:t>
      </w:r>
      <w:r w:rsidR="00594BBA">
        <w:t xml:space="preserve">monospecific </w:t>
      </w:r>
      <w:r w:rsidR="00335E3C">
        <w:t>populations</w:t>
      </w:r>
      <w:r w:rsidR="00CA2710">
        <w:t xml:space="preserve"> such as crops</w:t>
      </w:r>
      <w:r w:rsidR="00335E3C">
        <w:t>.</w:t>
      </w:r>
    </w:p>
    <w:p w14:paraId="2DCF17AF" w14:textId="77777777" w:rsidR="00C32436" w:rsidRDefault="00C32436">
      <w:pPr>
        <w:pStyle w:val="Body"/>
        <w:rPr>
          <w:b/>
          <w:bCs/>
        </w:rPr>
      </w:pPr>
    </w:p>
    <w:p w14:paraId="7CCC6904" w14:textId="77777777" w:rsidR="00C32436" w:rsidRDefault="0073111C">
      <w:pPr>
        <w:pStyle w:val="Body"/>
        <w:rPr>
          <w:b/>
          <w:bCs/>
        </w:rPr>
      </w:pPr>
      <w:r>
        <w:rPr>
          <w:b/>
          <w:bCs/>
        </w:rPr>
        <w:t>Methods</w:t>
      </w:r>
    </w:p>
    <w:p w14:paraId="48E5B37E" w14:textId="77777777" w:rsidR="00C32436" w:rsidRDefault="00C32436">
      <w:pPr>
        <w:pStyle w:val="Body"/>
        <w:rPr>
          <w:b/>
          <w:bCs/>
        </w:rPr>
      </w:pPr>
    </w:p>
    <w:p w14:paraId="2F23B820" w14:textId="1431152F" w:rsidR="00C32436" w:rsidRDefault="0073111C">
      <w:pPr>
        <w:pStyle w:val="Body"/>
        <w:spacing w:line="480" w:lineRule="auto"/>
        <w:ind w:firstLine="720"/>
      </w:pPr>
      <w:r>
        <w:t>To test these alternative hypotheses we compiled extensive individual plant size data from forest and non-forest communities. Thirteen different plant communities (Table 1) were surveyed at the Brown Family Environmen</w:t>
      </w:r>
      <w:r w:rsidR="000D7D8F">
        <w:t>tal Center (BFEC) in Gambier, Ohio</w:t>
      </w:r>
      <w:r>
        <w:t xml:space="preserve"> (40.39° N, -82.42° W), the Rocky Mountain Biological Laboratory (RMBL) in Gothic Colorado (38.90° N, -10</w:t>
      </w:r>
      <w:r w:rsidR="003D13D8">
        <w:t xml:space="preserve">6.98° W), and </w:t>
      </w:r>
      <w:proofErr w:type="spellStart"/>
      <w:r w:rsidR="003D13D8">
        <w:t>Tumamoc</w:t>
      </w:r>
      <w:proofErr w:type="spellEnd"/>
      <w:r w:rsidR="003D13D8">
        <w:t xml:space="preserve"> Hill Desert Laboratory (THDL) </w:t>
      </w:r>
      <w:r w:rsidR="000A528E">
        <w:t>in Tucs</w:t>
      </w:r>
      <w:r>
        <w:t xml:space="preserve">on, Arizona (32.13° N, -111.00° W). </w:t>
      </w:r>
    </w:p>
    <w:p w14:paraId="71D16FEA" w14:textId="77777777" w:rsidR="00C85A24" w:rsidRDefault="00C85A24">
      <w:pPr>
        <w:pStyle w:val="Body"/>
        <w:spacing w:line="480" w:lineRule="auto"/>
        <w:rPr>
          <w:i/>
          <w:iCs/>
        </w:rPr>
      </w:pPr>
    </w:p>
    <w:p w14:paraId="085B64D1" w14:textId="77777777" w:rsidR="00C32436" w:rsidRDefault="0073111C">
      <w:pPr>
        <w:pStyle w:val="Body"/>
        <w:spacing w:line="480" w:lineRule="auto"/>
        <w:rPr>
          <w:i/>
          <w:iCs/>
        </w:rPr>
      </w:pPr>
      <w:r>
        <w:rPr>
          <w:i/>
          <w:iCs/>
        </w:rPr>
        <w:t>Locales</w:t>
      </w:r>
    </w:p>
    <w:p w14:paraId="35375A74" w14:textId="20A940B2" w:rsidR="00C32436" w:rsidRDefault="0073111C">
      <w:pPr>
        <w:pStyle w:val="Body"/>
        <w:spacing w:line="480" w:lineRule="auto"/>
        <w:ind w:firstLine="720"/>
      </w:pPr>
      <w:r>
        <w:t xml:space="preserve">The BFEC is situated in a temperate rural mosaic of agricultural fields, woodlots, and restored ecosystems including prairies and wetlands. Three different </w:t>
      </w:r>
      <w:r w:rsidR="0004282E">
        <w:t>communitie</w:t>
      </w:r>
      <w:r>
        <w:t>s were surveyed at the BFEC: a temperate forest, a wetland, and a restored prairie. The temperate forest plot is a two-hectare area within a natural mixed age forest that experienced some selective logging in the early 20</w:t>
      </w:r>
      <w:r>
        <w:rPr>
          <w:vertAlign w:val="superscript"/>
        </w:rPr>
        <w:t>th</w:t>
      </w:r>
      <w:r>
        <w:t xml:space="preserve"> century but was likely never entirely clear-cut. The restored prairie was established on previous agricultural land in 1992, and is maintained by controlled burns each spring. We sampled local prairie communities using three randomly placed 1.2 x 1.2 m plots spread across roughly one hectare. The perched wetland is adjacent to a small </w:t>
      </w:r>
      <w:r w:rsidR="00CA2710">
        <w:t>headwater stream,</w:t>
      </w:r>
      <w:r>
        <w:t xml:space="preserve"> which flows into the</w:t>
      </w:r>
      <w:r w:rsidR="00CA2710">
        <w:t xml:space="preserve"> nearby</w:t>
      </w:r>
      <w:r>
        <w:t xml:space="preserve"> </w:t>
      </w:r>
      <w:proofErr w:type="spellStart"/>
      <w:r>
        <w:t>Kokosing</w:t>
      </w:r>
      <w:proofErr w:type="spellEnd"/>
      <w:r>
        <w:t xml:space="preserve"> River. In this habitat, we sampled two 1.2 x 1.2 m plots, placed approximately 50 and 100 m from the stream. Soils in the wetland sites are continuously saturated throughout the growing season, while the prairie and forest sites depend on rainfall.</w:t>
      </w:r>
    </w:p>
    <w:p w14:paraId="2795D448" w14:textId="42862374" w:rsidR="00C32436" w:rsidRDefault="0073111C">
      <w:pPr>
        <w:pStyle w:val="Body"/>
        <w:spacing w:line="480" w:lineRule="auto"/>
        <w:ind w:firstLine="720"/>
      </w:pPr>
      <w:r>
        <w:t xml:space="preserve">The RMBL in the southern Rocky Mountains provides an </w:t>
      </w:r>
      <w:r w:rsidR="0062461A">
        <w:t>montane</w:t>
      </w:r>
      <w:r>
        <w:t xml:space="preserve"> environment with an elevation gradient ranging from 2468 to 3380 m above sea level and spanning a geographic distance of approximately 39 km </w:t>
      </w:r>
      <w:r w:rsidR="00EE026E">
        <w:fldChar w:fldCharType="begin"/>
      </w:r>
      <w:r w:rsidR="00EE026E">
        <w:instrText xml:space="preserve"> ADDIN ZOTERO_ITEM CSL_CITATION {"citationID":"a2ivkjnmjdn","properties":{"formattedCitation":"(Bryant et al. 2008, Sloat et al. 2015)","plainCitation":"(Bryant et al. 2008, Sloat et al. 2015)"},"citationItems":[{"id":1607,"uris":["http://zotero.org/users/4284391/items/89AKMNQH"],"uri":["http://zotero.org/users/4284391/items/89AKMNQH"],"itemData":{"id":1607,"type":"article-journal","title":"Microbes on mountainsides: contrasting elevational patterns of bacterial and plant diversity","container-title":"Proceedings of the National Academy of Sciences of the United States of America","volume":"In Press","shortTitle":"Microbes on mountainsides: contrasting elevational patterns of bacterial and plant diversity","author":[{"family":"Bryant","given":"J. A."},{"family":"Lamanna","given":"C."},{"family":"Morlon","given":"H."},{"family":"Kerkhoff","given":"A. J."},{"family":"Enquist","given":"B. J."},{"family":"Green","given":"J. L."}],"issued":{"date-parts":[["2008"]]}}},{"id":9516,"uris":["http://zotero.org/users/4284391/items/MA56QUGW"],"uri":["http://zotero.org/users/4284391/items/MA56QUGW"],"itemData":{"id":9516,"type":"article-journal","title":"The Effect of the Foresummer Drought on Carbon Exchange in Subalpine Meadows","container-title":"Ecosystems","page":"533-545","volume":"18","issue":"3","archive_location":"WOS:000351605400014","abstract":"Climate in subalpine meadows of the Rocky Mountains can be characterized by an early (foresummer) drought that occurs after snowmelt (May) and lasts until the start of the summer monsoon season (July). Climate change models predict an increase in the length and severity of this dry period due to earlier snowmelt dates, rising air temperatures, and shifts in the start and/or intensity of the North American monsoon. However, it is unknown how changes in the severity of this early season dry period will affect ecosystem carbon exchange. To address the importance of early season drought, we combined a watering manipulation with 11 years of ecosystem carbon exchange data across an elevational gradient at the Rocky Mountain Biological Laboratory in Gothic, Colorado. Long-term trends reveal that earlier snowmelt dates lead to a decrease in net ecosystem productivity (NEP), in part because of the positive effect on early growing season drought conditions. Manipulating the strength of the foresummer drought by watering revealed that the timing of growing season precipitation is more important than the total amount for determining cumulative NEP. The strength of the foresummer drought did not significantly impact ecosystem respiration rates, but plants that experienced a strong foresummer drought exhibited more water stress, and lower instantaneous rates of NEP, even during the rainy season. Our results highlight the central role of the foresummer drought in determining rates of carbon exchange throughout the growing season, and the potential for an increasingly negative balance of carbon in subalpine meadows under future climate change.","DOI":"10.1007/s10021-015-9845-1","ISSN":"1432-9840","shortTitle":"The Effect of the Foresummer Drought on Carbon Exchange in Subalpine Meadows","author":[{"family":"Sloat","given":"L. L."},{"family":"Henderson","given":"A. N."},{"family":"Lamanna","given":"C."},{"family":"Enquist","given":"B. J."}],"issued":{"date-parts":[["2015",4]]}}}],"schema":"https://github.com/citation-style-language/schema/raw/master/csl-citation.json"} </w:instrText>
      </w:r>
      <w:r w:rsidR="00EE026E">
        <w:fldChar w:fldCharType="separate"/>
      </w:r>
      <w:r w:rsidR="00EE026E">
        <w:rPr>
          <w:noProof/>
        </w:rPr>
        <w:t>(Bryant et al. 2008, Sloat et al. 2015)</w:t>
      </w:r>
      <w:r w:rsidR="00EE026E">
        <w:fldChar w:fldCharType="end"/>
      </w:r>
      <w:r>
        <w:t xml:space="preserve">. The five sites range from an arid </w:t>
      </w:r>
      <w:r w:rsidR="000604F1">
        <w:t xml:space="preserve">grass-sagebrush </w:t>
      </w:r>
      <w:r>
        <w:t xml:space="preserve">steppe </w:t>
      </w:r>
      <w:r w:rsidR="00446FE2">
        <w:t xml:space="preserve">near Almont, CO </w:t>
      </w:r>
      <w:r>
        <w:t xml:space="preserve">(2468 m) through </w:t>
      </w:r>
      <w:r w:rsidR="00446FE2">
        <w:t>a stream-side wet meadow outside of Mount Crested Butte, CO, up to three subalpine meadow sites in Washington Gulch</w:t>
      </w:r>
      <w:r>
        <w:t xml:space="preserve"> that extend nearly to </w:t>
      </w:r>
      <w:proofErr w:type="spellStart"/>
      <w:r>
        <w:t>treeline</w:t>
      </w:r>
      <w:proofErr w:type="spellEnd"/>
      <w:r>
        <w:t xml:space="preserve"> (3380 m). The </w:t>
      </w:r>
      <w:r w:rsidR="00446FE2">
        <w:t xml:space="preserve">three </w:t>
      </w:r>
      <w:r>
        <w:t xml:space="preserve">subalpine </w:t>
      </w:r>
      <w:r w:rsidR="00446FE2">
        <w:t xml:space="preserve">meadow </w:t>
      </w:r>
      <w:r>
        <w:t>communities depend on seasonal snowmelt and soils can transition from completely saturated at the beginning of the growing season to quite dry by the end of the summer. Each site was sampled using a single 1.3 x 1.3 m plot.</w:t>
      </w:r>
    </w:p>
    <w:p w14:paraId="39FD9437" w14:textId="20BD7F35" w:rsidR="00C32436" w:rsidRDefault="0073111C">
      <w:pPr>
        <w:pStyle w:val="Body"/>
        <w:spacing w:line="480" w:lineRule="auto"/>
        <w:ind w:firstLine="720"/>
      </w:pPr>
      <w:r>
        <w:t xml:space="preserve">The </w:t>
      </w:r>
      <w:r w:rsidR="003D13D8">
        <w:t>THDL</w:t>
      </w:r>
      <w:r>
        <w:t xml:space="preserve"> in Tu</w:t>
      </w:r>
      <w:r w:rsidR="000A528E">
        <w:t>cs</w:t>
      </w:r>
      <w:r>
        <w:t xml:space="preserve">on, Arizona is a Sonoran desert habitat dominated by stem succulents, shrubs, and small trees. Water is the limiting resource in this area. The climate is highly seasonal with mostly hot dry weather broken up by a late summer monsoon season as well as seasonal rainfall in January and February. All individuals within a one-hectare area were sampled. </w:t>
      </w:r>
    </w:p>
    <w:p w14:paraId="502BD573" w14:textId="31688CA7" w:rsidR="00C32436" w:rsidRDefault="00446FE2">
      <w:pPr>
        <w:pStyle w:val="Body"/>
        <w:spacing w:line="480" w:lineRule="auto"/>
        <w:rPr>
          <w:i/>
          <w:iCs/>
          <w:sz w:val="22"/>
          <w:szCs w:val="22"/>
        </w:rPr>
      </w:pPr>
      <w:r>
        <w:rPr>
          <w:i/>
          <w:iCs/>
        </w:rPr>
        <w:t xml:space="preserve">Plant </w:t>
      </w:r>
      <w:r w:rsidR="0073111C">
        <w:rPr>
          <w:i/>
          <w:iCs/>
        </w:rPr>
        <w:t>Sampling Methods</w:t>
      </w:r>
    </w:p>
    <w:p w14:paraId="3CA883F4" w14:textId="4C9F2211" w:rsidR="00C32436" w:rsidRDefault="0073111C">
      <w:pPr>
        <w:pStyle w:val="Body"/>
        <w:spacing w:line="480" w:lineRule="auto"/>
        <w:ind w:firstLine="720"/>
      </w:pPr>
      <w:r>
        <w:t>The herbaceous communities at the BFEC and the RMBL were all sampled in using the same method. At peak biomass (near the end of the growing season) each individual plant in the sample plot was harvested aboveground, dried at a temperature of at least 60</w:t>
      </w:r>
      <w:r>
        <w:rPr>
          <w:rFonts w:ascii="Lucida Grande" w:hAnsi="Lucida Grande"/>
          <w:b/>
          <w:bCs/>
        </w:rPr>
        <w:t>°</w:t>
      </w:r>
      <w:r>
        <w:t xml:space="preserve">C for over one week, and weighed to the nearest 0.001g. Individual plants were defined by the aboveground biomass associated with an individual stem or stem cluster at ground level, and bunched grasses were taken as a single individual when their stems could not be reliably separated at ground level. Thus, individuals generally represent </w:t>
      </w:r>
      <w:proofErr w:type="spellStart"/>
      <w:r>
        <w:t>ramets</w:t>
      </w:r>
      <w:proofErr w:type="spellEnd"/>
      <w:r>
        <w:t xml:space="preserve"> rather than genets. In each case, individuals were identified to species or </w:t>
      </w:r>
      <w:r w:rsidR="00A50D71">
        <w:t xml:space="preserve">(often) </w:t>
      </w:r>
      <w:proofErr w:type="spellStart"/>
      <w:r>
        <w:t>morphospecies</w:t>
      </w:r>
      <w:proofErr w:type="spellEnd"/>
      <w:r>
        <w:t>, but we group all individuals across species in this analysis, since we are concerned with the community size-frequency distributions.</w:t>
      </w:r>
    </w:p>
    <w:p w14:paraId="27DB060D" w14:textId="77B467EB" w:rsidR="00C32436" w:rsidRDefault="0073111C">
      <w:pPr>
        <w:pStyle w:val="Body"/>
        <w:spacing w:line="480" w:lineRule="auto"/>
        <w:ind w:firstLine="720"/>
      </w:pPr>
      <w:r>
        <w:t xml:space="preserve">In the BFEC forest plot, all individual trees were </w:t>
      </w:r>
      <w:proofErr w:type="spellStart"/>
      <w:r>
        <w:t>censused</w:t>
      </w:r>
      <w:proofErr w:type="spellEnd"/>
      <w:r>
        <w:t xml:space="preserve"> in a 2 ha area </w:t>
      </w:r>
      <w:r w:rsidR="00A50D71">
        <w:t>established in</w:t>
      </w:r>
      <w:r>
        <w:t xml:space="preserve"> 2006 and 2007. All individuals with a diameter breast height (DBH) greater than 1 cm were measured, </w:t>
      </w:r>
      <w:r w:rsidR="00CA2710">
        <w:t>mapped using an ultrasonic transponder</w:t>
      </w:r>
      <w:r>
        <w:t xml:space="preserve">, and identified to species. Mapped individuals were relocated and </w:t>
      </w:r>
      <w:proofErr w:type="spellStart"/>
      <w:r>
        <w:t>remeasured</w:t>
      </w:r>
      <w:proofErr w:type="spellEnd"/>
      <w:r>
        <w:t xml:space="preserve"> in the summer of 2011, and all newly established individuals were added. The DBH was then converted to mass using </w:t>
      </w:r>
      <w:proofErr w:type="spellStart"/>
      <w:r>
        <w:t>allometric</w:t>
      </w:r>
      <w:proofErr w:type="spellEnd"/>
      <w:r>
        <w:t xml:space="preserve"> </w:t>
      </w:r>
      <w:r w:rsidR="0056336C">
        <w:t>equations</w:t>
      </w:r>
      <w:r w:rsidR="00EE026E">
        <w:t xml:space="preserve"> </w:t>
      </w:r>
      <w:r w:rsidR="00EE026E">
        <w:fldChar w:fldCharType="begin"/>
      </w:r>
      <w:r w:rsidR="00EE026E">
        <w:instrText xml:space="preserve"> ADDIN ZOTERO_ITEM CSL_CITATION {"citationID":"a1rguod0j4i","properties":{"formattedCitation":"(Jenkins et al. 2003)","plainCitation":"(Jenkins et al. 2003)"},"citationItems":[{"id":11527,"uris":["http://zotero.org/users/4284391/items/KE8F9ZQC"],"uri":["http://zotero.org/users/4284391/items/KE8F9ZQC"],"itemData":{"id":11527,"type":"article-journal","title":"National-scale biomass estimators for United States tree species","container-title":"Forest Science","page":"12-35","volume":"49","issue":"1","source":"Web of Science","abstract":"Estimates of national-scale forest carbon (C) stocks and fluxes are typically based on allometric regression equations developed using dimensional analysis techniques. However, the literature is inconsistent and incomplete with respect to large-scale forest C estimation. We compiled all available diameter-based allometric regression equations for estimating total aboveground and component biomass, defined in dry weight terms, for trees in the United States. We then implemented a modified meta-analysis based on the published equations to develop a set of consistent, national-scale aboveground biomass regression equations for U.S. species. Equations for predicting biomass of tree components were developed as proportions of total aboveground biomass for hardwood and softwood groups. A comparison with recent equations used to develop large-scale biomass estimates from U.S. forest inventory data for eastern U.S. species suggests general agreement (+/- 30%) between biomass estimates. The comparison also shows that differences in equation forms and species groupings may cause differences at small scales depending on tree size and forest species composition. This analysis represents the first major effort to compile and analyze all available biomass literature in a consistent national-scale framework. The equations developed here are used to compute the biomass estimates used by the model FORCARB to develop, the U.S. C budget.","ISSN":"0015-749X","note":"WOS:000180858100002","journalAbbreviation":"For. Sci.","language":"English","author":[{"family":"Jenkins","given":"J. C."},{"family":"Chojnacky","given":"D. C."},{"family":"Heath","given":"L. S."},{"family":"Birdsey","given":"R. A."}],"issued":{"date-parts":[["2003",2]]}}}],"schema":"https://github.com/citation-style-language/schema/raw/master/csl-citation.json"} </w:instrText>
      </w:r>
      <w:r w:rsidR="00EE026E">
        <w:fldChar w:fldCharType="separate"/>
      </w:r>
      <w:r w:rsidR="00EE026E">
        <w:rPr>
          <w:noProof/>
        </w:rPr>
        <w:t>(Jenkins et al. 2003)</w:t>
      </w:r>
      <w:r w:rsidR="00EE026E">
        <w:fldChar w:fldCharType="end"/>
      </w:r>
      <w:r w:rsidR="00EE026E">
        <w:t xml:space="preserve">. </w:t>
      </w:r>
      <w:r>
        <w:t>Here, we analyze the</w:t>
      </w:r>
      <w:r w:rsidR="00A50D71">
        <w:t xml:space="preserve"> size distribution for the </w:t>
      </w:r>
      <w:r>
        <w:t xml:space="preserve">forest plot </w:t>
      </w:r>
      <w:r w:rsidR="00A50D71">
        <w:t xml:space="preserve">survey </w:t>
      </w:r>
      <w:r>
        <w:t>in 2011.</w:t>
      </w:r>
    </w:p>
    <w:p w14:paraId="1883F578" w14:textId="14044724" w:rsidR="00C32436" w:rsidRDefault="0073111C">
      <w:pPr>
        <w:pStyle w:val="Body"/>
        <w:spacing w:line="480" w:lineRule="auto"/>
        <w:ind w:firstLine="720"/>
      </w:pPr>
      <w:r>
        <w:t xml:space="preserve">In the </w:t>
      </w:r>
      <w:r w:rsidR="003D13D8">
        <w:t>THDL</w:t>
      </w:r>
      <w:r>
        <w:t xml:space="preserve"> plot, the basal stem diameter, height, and canopy spread (north-south and east-west) were recorded for each individual plant </w:t>
      </w:r>
      <w:r w:rsidR="00CA2710">
        <w:t xml:space="preserve">(including </w:t>
      </w:r>
      <w:r w:rsidR="0056336C">
        <w:t xml:space="preserve">both </w:t>
      </w:r>
      <w:r w:rsidR="00CA2710">
        <w:t xml:space="preserve">herbaceous and woody individuals) </w:t>
      </w:r>
      <w:r>
        <w:t>in a 1-hectare area, and all individuals were mapped using a total station theodolite. The height, diameter, and canopy measures were converted to biomass values based on individuals of the same species that had been similarly measured, harvested from other local sites (road and golf</w:t>
      </w:r>
      <w:r w:rsidR="0056336C">
        <w:t xml:space="preserve"> </w:t>
      </w:r>
      <w:r>
        <w:t xml:space="preserve">course rights-of-way), dried and weighed. For most species, we estimated </w:t>
      </w:r>
      <w:proofErr w:type="spellStart"/>
      <w:r w:rsidR="00A50D71">
        <w:t>allometric</w:t>
      </w:r>
      <w:proofErr w:type="spellEnd"/>
      <w:r w:rsidR="00A50D71">
        <w:t xml:space="preserve"> equations based on </w:t>
      </w:r>
      <w:r w:rsidR="003D13D8">
        <w:t xml:space="preserve">between </w:t>
      </w:r>
      <w:r w:rsidR="00A50D71">
        <w:t xml:space="preserve">6 – </w:t>
      </w:r>
      <w:r>
        <w:t xml:space="preserve">149 </w:t>
      </w:r>
      <w:r w:rsidR="003D13D8">
        <w:t>conspecific</w:t>
      </w:r>
      <w:r>
        <w:t xml:space="preserve"> individuals across a wide size range (median 27.5 individuals). For species without harvested individuals, we used individuals from a congeneric and</w:t>
      </w:r>
      <w:r w:rsidR="00CA2710">
        <w:t>/or</w:t>
      </w:r>
      <w:r>
        <w:t xml:space="preserve"> morphologically similar species or all individuals within the appropriate functional group (woody, succulent, herbaceous) to estimate biomass.</w:t>
      </w:r>
    </w:p>
    <w:p w14:paraId="196CC0C8" w14:textId="77777777" w:rsidR="00C32436" w:rsidRDefault="0073111C">
      <w:pPr>
        <w:pStyle w:val="Body"/>
        <w:spacing w:line="480" w:lineRule="auto"/>
        <w:rPr>
          <w:i/>
          <w:iCs/>
        </w:rPr>
      </w:pPr>
      <w:r w:rsidRPr="000D7D8F">
        <w:rPr>
          <w:i/>
          <w:iCs/>
        </w:rPr>
        <w:t>Data Analysis</w:t>
      </w:r>
    </w:p>
    <w:p w14:paraId="7C2C775E" w14:textId="3D84EB10" w:rsidR="00C32436" w:rsidRDefault="0073111C">
      <w:pPr>
        <w:pStyle w:val="Body"/>
        <w:spacing w:line="480" w:lineRule="auto"/>
        <w:ind w:firstLine="720"/>
      </w:pPr>
      <w:r>
        <w:t>We used maximum likelihood estimation</w:t>
      </w:r>
      <w:r w:rsidR="00EE026E">
        <w:t xml:space="preserve"> </w:t>
      </w:r>
      <w:r w:rsidR="00EE026E">
        <w:fldChar w:fldCharType="begin"/>
      </w:r>
      <w:r w:rsidR="00EE026E">
        <w:instrText xml:space="preserve"> ADDIN ZOTERO_ITEM CSL_CITATION {"citationID":"adad27ea6k","properties":{"formattedCitation":"(Muller-Landau et al. 2006a, White et al. 2008, Lai et al. 2013)","plainCitation":"(Muller-Landau et al. 2006a, White et al. 2008, Lai et al. 2013)"},"citationItems":[{"id":7019,"uris":["http://zotero.org/users/4284391/items/T4GJGDVN"],"uri":["http://zotero.org/users/4284391/items/T4GJGDVN"],"itemData":{"id":7019,"type":"article-journal","title":"Testing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E026E">
        <w:fldChar w:fldCharType="separate"/>
      </w:r>
      <w:r w:rsidR="00EE026E">
        <w:rPr>
          <w:noProof/>
        </w:rPr>
        <w:t>(Muller-Landau et al. 2006a, White et al. 2008, Lai et al. 2013)</w:t>
      </w:r>
      <w:r w:rsidR="00EE026E">
        <w:fldChar w:fldCharType="end"/>
      </w:r>
      <w:r w:rsidR="00EE026E">
        <w:t xml:space="preserve"> to </w:t>
      </w:r>
      <w:r>
        <w:t xml:space="preserve">fit the two alternative size distribution models (Equations 3 and 4) using code written in </w:t>
      </w:r>
      <w:r>
        <w:rPr>
          <w:i/>
          <w:iCs/>
        </w:rPr>
        <w:t>R</w:t>
      </w:r>
      <w:r>
        <w:t xml:space="preserve">. Model fits were compared based on </w:t>
      </w:r>
      <w:proofErr w:type="spellStart"/>
      <w:r>
        <w:t>Akaike’s</w:t>
      </w:r>
      <w:proofErr w:type="spellEnd"/>
      <w:r>
        <w:t xml:space="preserve"> Information Criteria (AIC) value, and we selected the model with the lowest AIC score as the best fit, using the rule of thumb that models whose AIC values differed by less than 4 (</w:t>
      </w:r>
      <w:r>
        <w:rPr>
          <w:i/>
          <w:iCs/>
        </w:rPr>
        <w:t>i.e</w:t>
      </w:r>
      <w:r>
        <w:t>., ΔAIC&lt;4) were indistinguishable from one another. In the results below, the data are displayed in the figures using logarithmically normalized binning</w:t>
      </w:r>
      <w:r w:rsidR="00EE026E">
        <w:t xml:space="preserve"> </w:t>
      </w:r>
      <w:r w:rsidR="00EE026E">
        <w:fldChar w:fldCharType="begin"/>
      </w:r>
      <w:r w:rsidR="00EE026E">
        <w:instrText xml:space="preserve"> ADDIN ZOTERO_ITEM CSL_CITATION {"citationID":"a249vadqseh","properties":{"formattedCitation":"(White et al. 2008)","plainCitation":"(White et al. 2008)"},"citationItems":[{"id":11525,"uris":["http://zotero.org/users/4284391/items/GZG2GTGF"],"uri":["http://zotero.org/users/4284391/items/GZG2GTGF"],"itemData":{"id":11525,"type":"article-journal","title":"On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L."}],"issued":{"date-parts":[["2008",4]]}}}],"schema":"https://github.com/citation-style-language/schema/raw/master/csl-citation.json"} </w:instrText>
      </w:r>
      <w:r w:rsidR="00EE026E">
        <w:fldChar w:fldCharType="separate"/>
      </w:r>
      <w:r w:rsidR="00EE026E">
        <w:rPr>
          <w:noProof/>
        </w:rPr>
        <w:t>(White et al. 2008)</w:t>
      </w:r>
      <w:r w:rsidR="00EE026E">
        <w:fldChar w:fldCharType="end"/>
      </w:r>
      <w:r>
        <w:t>, but it is important to note that the maximum likelihood estimate fits were based on the raw data values</w:t>
      </w:r>
      <w:r w:rsidR="003D13D8">
        <w:t xml:space="preserve"> and not fit directly to the binned points</w:t>
      </w:r>
      <w:r>
        <w:t>.</w:t>
      </w:r>
    </w:p>
    <w:p w14:paraId="349B0290" w14:textId="32BB43E6" w:rsidR="00A50D71" w:rsidRDefault="00A50D71" w:rsidP="00A50D71">
      <w:pPr>
        <w:pStyle w:val="Body"/>
        <w:spacing w:line="480" w:lineRule="auto"/>
        <w:ind w:firstLine="720"/>
      </w:pPr>
      <w:r>
        <w:t xml:space="preserve">Finally, to examine the cross-community </w:t>
      </w:r>
      <w:r w:rsidR="00CA2710">
        <w:t>scaling</w:t>
      </w:r>
      <w:r>
        <w:t xml:space="preserve"> relationship, we calculated the mean plant size in each community and plotted the log density (total number of </w:t>
      </w:r>
      <w:proofErr w:type="spellStart"/>
      <w:r>
        <w:t>inidividuals</w:t>
      </w:r>
      <w:proofErr w:type="spellEnd"/>
      <w:r>
        <w:t xml:space="preserve"> / plot area) against the log mean plant mass. For comparison, we also included data from Deng et al. (2013) for crop plants growing at their optimal density as well as </w:t>
      </w:r>
      <w:r w:rsidR="00CA2710">
        <w:t xml:space="preserve">a global compendium of data from </w:t>
      </w:r>
      <w:r>
        <w:t>forests, plantations, and bamboo communities.</w:t>
      </w:r>
    </w:p>
    <w:p w14:paraId="152A992C" w14:textId="5076C026" w:rsidR="00C32436" w:rsidRDefault="0073111C">
      <w:pPr>
        <w:pStyle w:val="Body"/>
        <w:spacing w:line="480" w:lineRule="auto"/>
        <w:rPr>
          <w:b/>
          <w:bCs/>
        </w:rPr>
      </w:pPr>
      <w:r>
        <w:rPr>
          <w:b/>
          <w:bCs/>
        </w:rPr>
        <w:t>Results</w:t>
      </w:r>
    </w:p>
    <w:p w14:paraId="1E42E6AE" w14:textId="4F0051DE" w:rsidR="00C32436" w:rsidRDefault="00A50D71">
      <w:pPr>
        <w:pStyle w:val="Body"/>
        <w:spacing w:line="480" w:lineRule="auto"/>
        <w:ind w:firstLine="720"/>
      </w:pPr>
      <w:r>
        <w:t xml:space="preserve">The communities varied substantially in the range of plant sizes, plot sizes, and dominant growth forms, but each included </w:t>
      </w:r>
      <w:r w:rsidR="003D13D8">
        <w:t>a large sample of individuals</w:t>
      </w:r>
      <w:r>
        <w:t>, rang</w:t>
      </w:r>
      <w:r w:rsidR="003D13D8">
        <w:t xml:space="preserve">ing from 160 to 2630 </w:t>
      </w:r>
      <w:r>
        <w:t>plants</w:t>
      </w:r>
      <w:r w:rsidR="00F70DE3">
        <w:t xml:space="preserve"> (Table 1).</w:t>
      </w:r>
      <w:r w:rsidR="001048CF" w:rsidRPr="001048CF">
        <w:rPr>
          <w:noProof/>
        </w:rPr>
        <w:t xml:space="preserve"> </w:t>
      </w:r>
    </w:p>
    <w:p w14:paraId="3E9B6A9E" w14:textId="73E4125E" w:rsidR="001048CF" w:rsidRDefault="001918DC" w:rsidP="007A583E">
      <w:pPr>
        <w:pStyle w:val="Body"/>
        <w:spacing w:line="480" w:lineRule="auto"/>
        <w:ind w:firstLine="720"/>
      </w:pPr>
      <w:r>
        <w:t xml:space="preserve">In all communities the size distribution displayed curvature on a log-log scale suggesting a </w:t>
      </w:r>
      <w:r w:rsidR="007A583E">
        <w:t>Weibull</w:t>
      </w:r>
      <w:r>
        <w:t xml:space="preserve"> rather than a </w:t>
      </w:r>
      <w:r w:rsidR="007A583E">
        <w:t>Pareto</w:t>
      </w:r>
      <w:r>
        <w:t xml:space="preserve"> distribution. </w:t>
      </w:r>
      <w:r w:rsidR="0073111C">
        <w:t xml:space="preserve">At every site, </w:t>
      </w:r>
      <w:r w:rsidR="003D13D8">
        <w:t>the Weibull distribution provided</w:t>
      </w:r>
      <w:r w:rsidR="0073111C">
        <w:t xml:space="preserve"> a better fit </w:t>
      </w:r>
      <w:r w:rsidR="003D13D8">
        <w:t xml:space="preserve">to the individual size distribution than </w:t>
      </w:r>
      <w:r w:rsidR="0073111C">
        <w:t>the Pareto</w:t>
      </w:r>
      <w:r w:rsidR="00DD2FD4">
        <w:t xml:space="preserve"> (Figure </w:t>
      </w:r>
      <w:r w:rsidR="00F70DE3">
        <w:t>2</w:t>
      </w:r>
      <w:r w:rsidR="00DD2FD4">
        <w:t>)</w:t>
      </w:r>
      <w:r w:rsidR="00EA090B">
        <w:t>, with ΔAIC &gt; 70 at a minimum</w:t>
      </w:r>
      <w:r w:rsidR="00DD2FD4">
        <w:t xml:space="preserve"> (Table 2)</w:t>
      </w:r>
      <w:r w:rsidR="00EA090B">
        <w:t xml:space="preserve">, </w:t>
      </w:r>
      <w:r w:rsidR="00DD2FD4">
        <w:t xml:space="preserve">which suggests </w:t>
      </w:r>
      <w:r w:rsidR="00EA090B">
        <w:t xml:space="preserve">that even when the individual size distribution </w:t>
      </w:r>
      <w:r w:rsidR="00DD2FD4">
        <w:t>appears to be quite linear under log-normalized binning (</w:t>
      </w:r>
      <w:r w:rsidR="00DD2FD4">
        <w:rPr>
          <w:i/>
        </w:rPr>
        <w:t>e.g.,</w:t>
      </w:r>
      <w:r w:rsidR="00DD2FD4">
        <w:t xml:space="preserve"> RMBL grass/sage, Figure </w:t>
      </w:r>
      <w:r w:rsidR="00F70DE3">
        <w:t>2</w:t>
      </w:r>
      <w:r w:rsidR="00DD2FD4">
        <w:t>), the curvilinear fit is more appropriate</w:t>
      </w:r>
      <w:r w:rsidR="0073111C">
        <w:t xml:space="preserve">. </w:t>
      </w:r>
    </w:p>
    <w:p w14:paraId="5036DF57" w14:textId="59D6CBAC" w:rsidR="00E60B4A" w:rsidRDefault="004C4602">
      <w:pPr>
        <w:pStyle w:val="Body"/>
        <w:spacing w:line="480" w:lineRule="auto"/>
        <w:ind w:firstLine="720"/>
      </w:pPr>
      <w:r>
        <w:t xml:space="preserve">Although the shape of the individual size distribution varied </w:t>
      </w:r>
      <w:r w:rsidR="00DD2FD4">
        <w:t xml:space="preserve">substantially </w:t>
      </w:r>
      <w:r>
        <w:t xml:space="preserve">across the communities, </w:t>
      </w:r>
      <w:r w:rsidR="008839F2">
        <w:t>we did not observe</w:t>
      </w:r>
      <w:r>
        <w:t xml:space="preserve"> systematic variation </w:t>
      </w:r>
      <w:r w:rsidR="00EA090B">
        <w:t xml:space="preserve">across the three locales or </w:t>
      </w:r>
      <w:r>
        <w:t>between comm</w:t>
      </w:r>
      <w:r w:rsidR="00EA090B">
        <w:t>unities w</w:t>
      </w:r>
      <w:r>
        <w:t xml:space="preserve">ith different dominant growth forms (Figure </w:t>
      </w:r>
      <w:r w:rsidR="00F70DE3">
        <w:t>2</w:t>
      </w:r>
      <w:r>
        <w:t>)</w:t>
      </w:r>
      <w:r w:rsidR="00F70DE3">
        <w:t xml:space="preserve">, but environmental variation may influence the shape of the individual size </w:t>
      </w:r>
    </w:p>
    <w:p w14:paraId="65F03191" w14:textId="77777777" w:rsidR="00E60B4A" w:rsidRDefault="00E60B4A">
      <w:pPr>
        <w:pStyle w:val="Body"/>
        <w:spacing w:line="480" w:lineRule="auto"/>
        <w:ind w:firstLine="720"/>
      </w:pPr>
      <w:r>
        <w:rPr>
          <w:noProof/>
        </w:rPr>
        <w:drawing>
          <wp:anchor distT="0" distB="0" distL="114300" distR="114300" simplePos="0" relativeHeight="251660288" behindDoc="0" locked="0" layoutInCell="1" allowOverlap="1" wp14:anchorId="547DB2D5" wp14:editId="7BF8B8EC">
            <wp:simplePos x="0" y="0"/>
            <wp:positionH relativeFrom="column">
              <wp:posOffset>-1605280</wp:posOffset>
            </wp:positionH>
            <wp:positionV relativeFrom="paragraph">
              <wp:posOffset>574040</wp:posOffset>
            </wp:positionV>
            <wp:extent cx="8575040" cy="6625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8">
                      <a:extLst>
                        <a:ext uri="{28A0092B-C50C-407E-A947-70E740481C1C}">
                          <a14:useLocalDpi xmlns:a14="http://schemas.microsoft.com/office/drawing/2010/main" val="0"/>
                        </a:ext>
                      </a:extLst>
                    </a:blip>
                    <a:stretch>
                      <a:fillRect/>
                    </a:stretch>
                  </pic:blipFill>
                  <pic:spPr>
                    <a:xfrm rot="16200000">
                      <a:off x="0" y="0"/>
                      <a:ext cx="8575040" cy="6625590"/>
                    </a:xfrm>
                    <a:prstGeom prst="rect">
                      <a:avLst/>
                    </a:prstGeom>
                  </pic:spPr>
                </pic:pic>
              </a:graphicData>
            </a:graphic>
            <wp14:sizeRelH relativeFrom="page">
              <wp14:pctWidth>0</wp14:pctWidth>
            </wp14:sizeRelH>
            <wp14:sizeRelV relativeFrom="page">
              <wp14:pctHeight>0</wp14:pctHeight>
            </wp14:sizeRelV>
          </wp:anchor>
        </w:drawing>
      </w:r>
    </w:p>
    <w:p w14:paraId="75070656" w14:textId="066E8AFD" w:rsidR="00CE70CB" w:rsidRDefault="00E60B4A" w:rsidP="00E60B4A">
      <w:pPr>
        <w:pStyle w:val="Body"/>
        <w:spacing w:line="480" w:lineRule="auto"/>
      </w:pPr>
      <w:r>
        <w:t>distribution.</w:t>
      </w:r>
      <w:r w:rsidR="00F70DE3">
        <w:t xml:space="preserve"> </w:t>
      </w:r>
      <w:r w:rsidR="00DD2FD4">
        <w:t>T</w:t>
      </w:r>
      <w:r w:rsidR="000C5F38">
        <w:t xml:space="preserve">he shape parameter </w:t>
      </w:r>
      <w:r w:rsidR="0017711E">
        <w:t>(</w:t>
      </w:r>
      <w:r w:rsidR="001048CF" w:rsidRPr="001048CF">
        <w:rPr>
          <w:i/>
        </w:rPr>
        <w:sym w:font="Symbol" w:char="F062"/>
      </w:r>
      <w:r w:rsidR="0017711E">
        <w:t xml:space="preserve">) </w:t>
      </w:r>
      <w:r w:rsidR="000C5F38">
        <w:t>values, which describe</w:t>
      </w:r>
      <w:r w:rsidR="0073111C">
        <w:t xml:space="preserve"> the curvatu</w:t>
      </w:r>
      <w:r w:rsidR="000C5F38">
        <w:t xml:space="preserve">re of the Weibull distribution, </w:t>
      </w:r>
      <w:r w:rsidR="00DD2FD4">
        <w:t>appear</w:t>
      </w:r>
      <w:r w:rsidR="008839F2">
        <w:t>ed</w:t>
      </w:r>
      <w:r w:rsidR="00DD2FD4">
        <w:t xml:space="preserve"> to</w:t>
      </w:r>
      <w:r w:rsidR="00EA090B">
        <w:t xml:space="preserve"> be systematically higher in the wet communities (</w:t>
      </w:r>
      <w:r w:rsidR="00F70DE3">
        <w:t xml:space="preserve">BFEC </w:t>
      </w:r>
      <w:r w:rsidR="00EA090B">
        <w:t xml:space="preserve">wetland and </w:t>
      </w:r>
      <w:r w:rsidR="00F70DE3">
        <w:t xml:space="preserve">RMBL </w:t>
      </w:r>
      <w:r w:rsidR="00EA090B">
        <w:t xml:space="preserve">wet meadow: </w:t>
      </w:r>
      <w:r w:rsidR="00DD2FD4">
        <w:t>0.67 – 0.74, all others: 0.30 – 0.57</w:t>
      </w:r>
      <w:r w:rsidR="00F70DE3">
        <w:t>, Table 2</w:t>
      </w:r>
      <w:r w:rsidR="00DD2FD4">
        <w:t>)</w:t>
      </w:r>
      <w:r w:rsidR="001918DC">
        <w:t xml:space="preserve">. However, </w:t>
      </w:r>
      <w:r w:rsidR="00F70DE3">
        <w:t>the nature of our sample</w:t>
      </w:r>
      <w:r w:rsidR="001918DC">
        <w:t xml:space="preserve"> precludes</w:t>
      </w:r>
      <w:r w:rsidR="00EA090B">
        <w:t xml:space="preserve"> us from </w:t>
      </w:r>
      <w:r w:rsidR="00F70DE3">
        <w:t xml:space="preserve">confidently </w:t>
      </w:r>
      <w:r w:rsidR="00EA090B">
        <w:t xml:space="preserve">making any </w:t>
      </w:r>
      <w:r w:rsidR="00F70DE3">
        <w:t>formal</w:t>
      </w:r>
      <w:r w:rsidR="00EA090B">
        <w:t xml:space="preserve"> statistical inferences about the effects of locale, growth form, or environment</w:t>
      </w:r>
      <w:r w:rsidR="001918DC">
        <w:t xml:space="preserve"> on the shape of the individual size distribution</w:t>
      </w:r>
      <w:r w:rsidR="00EA090B">
        <w:t xml:space="preserve">. </w:t>
      </w:r>
    </w:p>
    <w:p w14:paraId="7EEC3C72" w14:textId="237E61D7" w:rsidR="00C32436" w:rsidRDefault="007C7804">
      <w:pPr>
        <w:pStyle w:val="Body"/>
        <w:spacing w:line="480" w:lineRule="auto"/>
        <w:ind w:firstLine="720"/>
      </w:pPr>
      <w:r>
        <w:t>Although</w:t>
      </w:r>
      <w:r w:rsidR="0073111C">
        <w:t xml:space="preserve"> the Pareto provided an inferior fit, it should be noted that many of the Pareto expone</w:t>
      </w:r>
      <w:r w:rsidR="008839F2">
        <w:t xml:space="preserve">nts were close to, but </w:t>
      </w:r>
      <w:r w:rsidR="0073111C">
        <w:t>shallowe</w:t>
      </w:r>
      <w:r w:rsidR="008839F2">
        <w:t xml:space="preserve">r than, the predicted value of </w:t>
      </w:r>
      <w:r w:rsidR="00EA5BEE">
        <w:t>11/8 (</w:t>
      </w:r>
      <w:r w:rsidR="00EA5BEE">
        <w:fldChar w:fldCharType="begin"/>
      </w:r>
      <w:r w:rsidR="00EA5BEE">
        <w:instrText xml:space="preserve"> ADDIN ZOTERO_ITEM CSL_CITATION {"citationID":"a1qc0h7q7pp","properties":{"formattedCitation":"(Stegen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EA5BEE">
        <w:fldChar w:fldCharType="separate"/>
      </w:r>
      <w:r w:rsidR="00EA5BEE">
        <w:rPr>
          <w:noProof/>
        </w:rPr>
        <w:t>(Stegen and White 2008)</w:t>
      </w:r>
      <w:r w:rsidR="00EA5BEE">
        <w:fldChar w:fldCharType="end"/>
      </w:r>
      <w:r w:rsidR="00EA5BEE">
        <w:t xml:space="preserve"> </w:t>
      </w:r>
      <w:r w:rsidR="0073111C">
        <w:t>T</w:t>
      </w:r>
      <w:r>
        <w:t xml:space="preserve">able 2). </w:t>
      </w:r>
      <w:r w:rsidR="008839F2">
        <w:t xml:space="preserve"> As in the case of the shape parameter of the Weibull distribution, the Pareto exponent did not vary systematically across</w:t>
      </w:r>
      <w:r w:rsidR="00F70DE3">
        <w:t xml:space="preserve"> loca</w:t>
      </w:r>
      <w:r w:rsidR="002978A6">
        <w:t>les or between community types.</w:t>
      </w:r>
    </w:p>
    <w:p w14:paraId="102264B6" w14:textId="427C4A13" w:rsidR="00F62656" w:rsidRDefault="00931C72" w:rsidP="00F84F02">
      <w:pPr>
        <w:pStyle w:val="Body"/>
        <w:spacing w:line="480" w:lineRule="auto"/>
        <w:ind w:firstLine="720"/>
      </w:pPr>
      <w:r>
        <w:rPr>
          <w:noProof/>
        </w:rPr>
        <w:drawing>
          <wp:anchor distT="0" distB="0" distL="114300" distR="114300" simplePos="0" relativeHeight="251659264" behindDoc="0" locked="0" layoutInCell="1" allowOverlap="1" wp14:anchorId="17A370B6" wp14:editId="286ACCC2">
            <wp:simplePos x="0" y="0"/>
            <wp:positionH relativeFrom="column">
              <wp:posOffset>55880</wp:posOffset>
            </wp:positionH>
            <wp:positionV relativeFrom="paragraph">
              <wp:posOffset>797560</wp:posOffset>
            </wp:positionV>
            <wp:extent cx="3653155" cy="3492500"/>
            <wp:effectExtent l="0" t="0" r="4445"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df"/>
                    <pic:cNvPicPr/>
                  </pic:nvPicPr>
                  <pic:blipFill rotWithShape="1">
                    <a:blip r:embed="rId9">
                      <a:extLst>
                        <a:ext uri="{28A0092B-C50C-407E-A947-70E740481C1C}">
                          <a14:useLocalDpi xmlns:a14="http://schemas.microsoft.com/office/drawing/2010/main" val="0"/>
                        </a:ext>
                      </a:extLst>
                    </a:blip>
                    <a:srcRect l="5370" t="16057" r="39259" b="15399"/>
                    <a:stretch/>
                  </pic:blipFill>
                  <pic:spPr bwMode="auto">
                    <a:xfrm>
                      <a:off x="0" y="0"/>
                      <a:ext cx="3653155" cy="34925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F70DE3">
        <w:t>The twelve communities measured here broadly conformed to the cross-community scaling relationship observed in crops, plantations, forests, and bamboo c</w:t>
      </w:r>
      <w:r w:rsidR="00ED079E">
        <w:t>ommunities (Figure 3)</w:t>
      </w:r>
      <w:r w:rsidR="0051067B">
        <w:t>. Interestingly, compared to crop populations with comparable mean plant mass</w:t>
      </w:r>
      <w:r w:rsidR="00F84F02">
        <w:t xml:space="preserve">, </w:t>
      </w:r>
      <m:oMath>
        <m:acc>
          <m:accPr>
            <m:chr m:val="̅"/>
            <m:ctrlPr>
              <w:rPr>
                <w:rFonts w:ascii="Cambria Math" w:hAnsi="Cambria Math"/>
                <w:i/>
              </w:rPr>
            </m:ctrlPr>
          </m:accPr>
          <m:e>
            <m:r>
              <w:rPr>
                <w:rFonts w:ascii="Cambria Math" w:hAnsi="Cambria Math"/>
              </w:rPr>
              <m:t>M</m:t>
            </m:r>
          </m:e>
        </m:acc>
      </m:oMath>
      <w:r w:rsidR="0051067B">
        <w:t>, the herbaceous communities from the BFEC and RMBL</w:t>
      </w:r>
      <w:r w:rsidR="00F84F02">
        <w:t xml:space="preserve"> generally exhibit lower plant density.</w:t>
      </w:r>
    </w:p>
    <w:p w14:paraId="47D7CEBC" w14:textId="36BC1644" w:rsidR="00C32436" w:rsidRDefault="0073111C">
      <w:pPr>
        <w:pStyle w:val="Body"/>
        <w:spacing w:line="480" w:lineRule="auto"/>
        <w:rPr>
          <w:b/>
          <w:bCs/>
        </w:rPr>
      </w:pPr>
      <w:r>
        <w:rPr>
          <w:b/>
          <w:bCs/>
        </w:rPr>
        <w:t>Discussion</w:t>
      </w:r>
    </w:p>
    <w:p w14:paraId="62E0FB93" w14:textId="27A716EE" w:rsidR="00F84F02" w:rsidRDefault="0073111C" w:rsidP="00F84F02">
      <w:pPr>
        <w:pStyle w:val="Body"/>
        <w:spacing w:line="480" w:lineRule="auto"/>
        <w:ind w:firstLine="720"/>
      </w:pPr>
      <w:r>
        <w:t>O</w:t>
      </w:r>
      <w:r w:rsidR="00F65815">
        <w:t>verall, o</w:t>
      </w:r>
      <w:r>
        <w:t xml:space="preserve">ur results </w:t>
      </w:r>
      <w:r w:rsidR="002978A6">
        <w:t xml:space="preserve">suggest that </w:t>
      </w:r>
      <w:r w:rsidR="00F65815">
        <w:t xml:space="preserve">herbaceous and shrub-dominated plant communities exhibit the same relationships between size and abundance as more commonly studied forest communities and single species populations. Within communities, the individual size distributions were curvilinear, supporting the Weibull </w:t>
      </w:r>
      <w:r>
        <w:t xml:space="preserve">as </w:t>
      </w:r>
      <w:r w:rsidR="00F84F02">
        <w:t>a better</w:t>
      </w:r>
      <w:r>
        <w:t xml:space="preserve"> description of the plant size distributions </w:t>
      </w:r>
      <w:r w:rsidR="00F65815">
        <w:t>regardless of variation in dominant life forms, environmental stresses, or limiting resources</w:t>
      </w:r>
      <w:r>
        <w:t xml:space="preserve">. </w:t>
      </w:r>
      <w:r w:rsidR="00F65815">
        <w:t xml:space="preserve">These results challenge </w:t>
      </w:r>
      <w:r>
        <w:t>the simplest form of metabolic scaling theory</w:t>
      </w:r>
      <w:r w:rsidR="00F65815">
        <w:t xml:space="preserve"> as a generalized explanation for community level size distributions</w:t>
      </w:r>
      <w:r w:rsidR="003A73C5">
        <w:t xml:space="preserve"> </w:t>
      </w:r>
      <w:r w:rsidR="003A73C5">
        <w:fldChar w:fldCharType="begin"/>
      </w:r>
      <w:r w:rsidR="003A73C5">
        <w:instrText xml:space="preserve"> ADDIN ZOTERO_ITEM CSL_CITATION {"citationID":"a1l12misddb","properties":{"formattedCitation":"(Niklas et al. 2003, Coomes et al. 2003, Muller-Landau et al. 2006a)","plainCitation":"(Niklas et al. 2003, Coomes et al. 2003, Muller-Landau et al. 2006a)"},"citationItems":[{"id":7462,"uris":["http://zotero.org/users/4284391/items/57HAL5R9"],"uri":["http://zotero.org/users/4284391/items/57HAL5R9"],"itemData":{"id":7462,"type":"article-journal","title":"Tree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3A73C5">
        <w:fldChar w:fldCharType="separate"/>
      </w:r>
      <w:r w:rsidR="003A73C5">
        <w:rPr>
          <w:noProof/>
        </w:rPr>
        <w:t>(Niklas et al. 2003, Coomes et al. 2003, Muller-Landau et al. 2006a)</w:t>
      </w:r>
      <w:r w:rsidR="003A73C5">
        <w:fldChar w:fldCharType="end"/>
      </w:r>
      <w:r w:rsidR="00285C38">
        <w:t>.</w:t>
      </w:r>
    </w:p>
    <w:p w14:paraId="42ABFF49" w14:textId="59832B0A" w:rsidR="00692018" w:rsidRDefault="00285C38" w:rsidP="00692018">
      <w:pPr>
        <w:pStyle w:val="Body"/>
        <w:spacing w:line="480" w:lineRule="auto"/>
        <w:ind w:firstLine="720"/>
      </w:pPr>
      <w:r>
        <w:t>The fact that such a wide variety of plant communities exhibit similar individual size distributions is quite remarkable. The plant communities differed in their limiting resources, dominant plant type (</w:t>
      </w:r>
      <w:r>
        <w:rPr>
          <w:i/>
          <w:iCs/>
        </w:rPr>
        <w:t xml:space="preserve">i.e., </w:t>
      </w:r>
      <w:r>
        <w:t xml:space="preserve">trees, shrubs/succulents, forbs/grasses), levels of natural and human disturbance, water and nutrient availability, and other abiotic environmental factors. The </w:t>
      </w:r>
      <w:r w:rsidR="00EA5BEE">
        <w:t>fact that</w:t>
      </w:r>
      <w:r>
        <w:t xml:space="preserve"> such a wide range of communities </w:t>
      </w:r>
      <w:r w:rsidR="00EA5BEE">
        <w:t xml:space="preserve">display such similar size distributions </w:t>
      </w:r>
      <w:r>
        <w:t>suggests that common ecological processes may govern plant community structure in very different communities</w:t>
      </w:r>
      <w:r w:rsidR="00EA5BEE">
        <w:t xml:space="preserve"> </w:t>
      </w:r>
      <w:r w:rsidR="00EA5BEE">
        <w:fldChar w:fldCharType="begin"/>
      </w:r>
      <w:r w:rsidR="00EA5BEE">
        <w:instrText xml:space="preserve"> ADDIN ZOTERO_ITEM CSL_CITATION {"citationID":"a19tl60e0q8","properties":{"formattedCitation":"(Anfodillo et al. 2013)","plainCitation":"(Anfodillo et al. 2013)"},"citationItems":[{"id":11528,"uris":["http://zotero.org/users/4284391/items/NUDQJRXW"],"uri":["http://zotero.org/users/4284391/items/NUDQJRXW"],"itemData":{"id":11528,"type":"article-journal","title":"An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(Anfodillo et al. 2013)</w:t>
      </w:r>
      <w:r w:rsidR="00EA5BEE">
        <w:fldChar w:fldCharType="end"/>
      </w:r>
      <w:r w:rsidR="00692018">
        <w:t>.</w:t>
      </w:r>
    </w:p>
    <w:p w14:paraId="7B8653D0" w14:textId="0262A9C2" w:rsidR="00285C38" w:rsidRDefault="00692018" w:rsidP="009E16BD">
      <w:pPr>
        <w:pStyle w:val="Body"/>
        <w:spacing w:line="480" w:lineRule="auto"/>
        <w:ind w:firstLine="720"/>
      </w:pPr>
      <w:r>
        <w:t>If</w:t>
      </w:r>
      <w:r w:rsidR="00285C38">
        <w:t xml:space="preserve"> the assumptions of</w:t>
      </w:r>
      <w:r w:rsidR="00EA5BEE">
        <w:t xml:space="preserve"> demographic equilibrium theory</w:t>
      </w:r>
      <w:r w:rsidR="003A73C5">
        <w:t xml:space="preserve"> </w:t>
      </w:r>
      <w:r w:rsidR="003A73C5">
        <w:fldChar w:fldCharType="begin"/>
      </w:r>
      <w:r w:rsidR="003A73C5">
        <w:instrText xml:space="preserve"> ADDIN ZOTERO_ITEM CSL_CITATION {"citationID":"a5p6ic0hk5","properties":{"formattedCitation":"(Muller-Landau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73C5">
        <w:fldChar w:fldCharType="separate"/>
      </w:r>
      <w:r w:rsidR="003A73C5">
        <w:rPr>
          <w:noProof/>
        </w:rPr>
        <w:t>(Muller-Landau et al. 2006b)</w:t>
      </w:r>
      <w:r w:rsidR="003A73C5">
        <w:fldChar w:fldCharType="end"/>
      </w:r>
      <w:r w:rsidR="00285C38">
        <w:t xml:space="preserve"> hold in forest and non-forest</w:t>
      </w:r>
      <w:r>
        <w:t xml:space="preserve"> communities alike</w:t>
      </w:r>
      <w:r w:rsidR="00285C38">
        <w:t xml:space="preserve">, </w:t>
      </w:r>
      <w:r>
        <w:t xml:space="preserve">individual size distributions </w:t>
      </w:r>
      <w:r w:rsidR="00285C38">
        <w:t>arise from a dynamic equilibrium between growth rates that change as a power-law function of size, and a constant (or at least size-independent) mortality rat</w:t>
      </w:r>
      <w:r w:rsidR="00C73B19">
        <w:t>e</w:t>
      </w:r>
      <w:r w:rsidR="003A73C5">
        <w:t xml:space="preserve"> </w:t>
      </w:r>
      <w:r w:rsidR="003A73C5">
        <w:fldChar w:fldCharType="begin"/>
      </w:r>
      <w:r w:rsidR="003A73C5">
        <w:instrText xml:space="preserve"> ADDIN ZOTERO_ITEM CSL_CITATION {"citationID":"a25mf8fn2in","properties":{"formattedCitation":"(Lai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C73B19">
        <w:t>. This line of reasoning is based on the idea that</w:t>
      </w:r>
      <w:r w:rsidR="00285C38">
        <w:t xml:space="preserve"> size asymmetric competition will impact growth</w:t>
      </w:r>
      <w:r w:rsidR="009E16BD">
        <w:t xml:space="preserve"> and mortality</w:t>
      </w:r>
      <w:r w:rsidR="00285C38">
        <w:t xml:space="preserve"> when the plant is small, but once a plant i</w:t>
      </w:r>
      <w:r w:rsidR="009E16BD">
        <w:t xml:space="preserve">s established in the community, </w:t>
      </w:r>
      <w:r w:rsidR="00285C38">
        <w:t xml:space="preserve">mortality is likely independent of size. </w:t>
      </w:r>
      <w:r w:rsidR="009E16BD">
        <w:t xml:space="preserve">Thus, if the size threshold of the survey is low enough, we could see deviations from the Weibull model, with </w:t>
      </w:r>
      <w:r w:rsidR="00C73B19">
        <w:t>the Pareto distribution describing the best fit in smaller sized trees, with a Weibull distribution for larger individuals</w:t>
      </w:r>
      <w:r w:rsidR="009E16BD">
        <w:t>, as observed in several large temperate and subtropical forest plots</w:t>
      </w:r>
      <w:r w:rsidR="00C73B19">
        <w:t xml:space="preserve"> </w:t>
      </w:r>
      <w:r w:rsidR="003A73C5">
        <w:fldChar w:fldCharType="begin"/>
      </w:r>
      <w:r w:rsidR="003A73C5">
        <w:instrText xml:space="preserve"> ADDIN ZOTERO_ITEM CSL_CITATION {"citationID":"a28tjdduk7b","properties":{"formattedCitation":"(Lai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3A73C5">
        <w:t xml:space="preserve">. </w:t>
      </w:r>
      <w:r w:rsidR="009E16BD">
        <w:t>While such a mixed model did not provide a superior fit in any of our study plots, we did observe strongly size dependent mortality in the BFEC forest plot</w:t>
      </w:r>
      <w:r w:rsidR="00EA5BEE">
        <w:t xml:space="preserve"> from 2005-2001 (data not shown)</w:t>
      </w:r>
      <w:r w:rsidR="009E16BD">
        <w:t>, despite the superior fit of the Weibull. Thus, caution must be exercised in inferring particular assumed processes (</w:t>
      </w:r>
      <w:r w:rsidR="009E16BD" w:rsidRPr="009E16BD">
        <w:rPr>
          <w:i/>
          <w:iCs/>
        </w:rPr>
        <w:t>i.e</w:t>
      </w:r>
      <w:r w:rsidR="009E16BD">
        <w:t>., size-independent mortality) from the fit of models to emergent patterns like individual size distributions.</w:t>
      </w:r>
    </w:p>
    <w:p w14:paraId="1129B232" w14:textId="4E5ADD49" w:rsidR="00285C38" w:rsidRDefault="00285C38" w:rsidP="00820269">
      <w:pPr>
        <w:pStyle w:val="Body"/>
        <w:spacing w:line="480" w:lineRule="auto"/>
        <w:ind w:firstLine="720"/>
      </w:pPr>
      <w:r>
        <w:t xml:space="preserve">While the Weibull provided the best fit to the size distribution in every case, </w:t>
      </w:r>
      <w:r w:rsidR="003A73C5">
        <w:t>some sites exhibited systematic departures from the predicted pattern</w:t>
      </w:r>
      <w:r>
        <w:t xml:space="preserve">. At one extreme, the most abundant size class </w:t>
      </w:r>
      <w:r w:rsidR="003A73C5">
        <w:t xml:space="preserve">was frequently not the smallest one; below some threshold size, </w:t>
      </w:r>
      <w:r>
        <w:t>abu</w:t>
      </w:r>
      <w:r w:rsidR="003A73C5">
        <w:t>ndance dropped off</w:t>
      </w:r>
      <w:r>
        <w:t>. These deviations</w:t>
      </w:r>
      <w:r w:rsidR="003A73C5">
        <w:t xml:space="preserve"> could reflect sampling errors in finding</w:t>
      </w:r>
      <w:r>
        <w:t xml:space="preserve"> </w:t>
      </w:r>
      <w:r w:rsidR="003A73C5">
        <w:t>the smallest</w:t>
      </w:r>
      <w:r>
        <w:t xml:space="preserve"> individuals within each plot. However, the exhaustive sampling strategy for the herbaceous communities left the plot virtually bare. At the other extreme, the actual size distribution also deviates from the Weibull for largest plants in most of the sites, with the </w:t>
      </w:r>
      <w:proofErr w:type="spellStart"/>
      <w:r>
        <w:t>Wiebull</w:t>
      </w:r>
      <w:proofErr w:type="spellEnd"/>
      <w:r>
        <w:t xml:space="preserve"> underestimating the observed frequency of large plants. The larger number of large plants could represent systematic deviations from the assumptions of growth and mortality for particular dominant species. These deviations </w:t>
      </w:r>
      <w:r w:rsidR="00EA5BEE">
        <w:t>demonstrate that while simple models provide effective descriptions of plant size distributions</w:t>
      </w:r>
      <w:r>
        <w:t xml:space="preserve">, </w:t>
      </w:r>
      <w:r w:rsidR="00EA5BEE">
        <w:t xml:space="preserve">site-specific conditions may lead to departures from their predictions </w:t>
      </w:r>
      <w:r w:rsidR="00EA5BEE">
        <w:fldChar w:fldCharType="begin"/>
      </w:r>
      <w:r w:rsidR="00EA5BEE">
        <w:instrText xml:space="preserve"> ADDIN ZOTERO_ITEM CSL_CITATION {"citationID":"a1ddp30ref7","properties":{"formattedCitation":"(Coomes et al. 2003, Anfodillo et al. 2013)","plainCitation":"(Coomes et al. 2003, Anfodillo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(Coomes et al. 2003, Anfodillo et al. 2013)</w:t>
      </w:r>
      <w:r w:rsidR="00EA5BEE">
        <w:fldChar w:fldCharType="end"/>
      </w:r>
      <w:r>
        <w:t>.</w:t>
      </w:r>
    </w:p>
    <w:p w14:paraId="72098A7A" w14:textId="6F23829B" w:rsidR="00C32436" w:rsidRDefault="00F65815">
      <w:pPr>
        <w:pStyle w:val="Body"/>
        <w:spacing w:line="480" w:lineRule="auto"/>
        <w:ind w:firstLine="720"/>
      </w:pPr>
      <w:r>
        <w:t>Across communities</w:t>
      </w:r>
      <w:r w:rsidR="00D77A53">
        <w:t xml:space="preserve">, the fact that all twelve sites conformed to the power law </w:t>
      </w:r>
      <w:r w:rsidR="00F774A0">
        <w:t>linking forests, plantations, and crop populations reinforces the conclusion that the cross-community size-density scaling relationship arises from the constraints of geometric packing and/</w:t>
      </w:r>
      <w:r w:rsidR="003A73C5">
        <w:t xml:space="preserve">or energy use </w:t>
      </w:r>
      <w:r w:rsidR="003A73C5">
        <w:fldChar w:fldCharType="begin"/>
      </w:r>
      <w:r w:rsidR="003A73C5">
        <w:instrText xml:space="preserve"> ADDIN ZOTERO_ITEM CSL_CITATION {"citationID":"aci0i3q4t1","properties":{"formattedCitation":"(Deng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3A73C5">
        <w:fldChar w:fldCharType="separate"/>
      </w:r>
      <w:r w:rsidR="003A73C5">
        <w:rPr>
          <w:noProof/>
        </w:rPr>
        <w:t>(Deng et al. 2012)</w:t>
      </w:r>
      <w:r w:rsidR="003A73C5">
        <w:fldChar w:fldCharType="end"/>
      </w:r>
      <w:r w:rsidR="00F774A0">
        <w:t xml:space="preserve">. At the same time, the fact that </w:t>
      </w:r>
      <w:r w:rsidR="00A84118">
        <w:t xml:space="preserve">our </w:t>
      </w:r>
      <w:r w:rsidR="00F774A0">
        <w:t>mixed-species</w:t>
      </w:r>
      <w:r w:rsidR="00A84118">
        <w:t xml:space="preserve"> herbaceous communities had lower plant densities than crop populations with a similar mean plant mass suggests that </w:t>
      </w:r>
      <w:r w:rsidR="001A41A9">
        <w:t xml:space="preserve">differences in </w:t>
      </w:r>
      <w:r w:rsidR="00B87529">
        <w:t>individual size distributions among communities affect the relationship between total plant density and mean plant mass. Specifically, populations or communities with narrow</w:t>
      </w:r>
      <w:r w:rsidR="00A5741A">
        <w:t>, relatively uniform size distributions (</w:t>
      </w:r>
      <w:r w:rsidR="00A5741A" w:rsidRPr="00837BD6">
        <w:rPr>
          <w:i/>
          <w:iCs/>
        </w:rPr>
        <w:t>e.g</w:t>
      </w:r>
      <w:r w:rsidR="00A5741A">
        <w:t>., crops)</w:t>
      </w:r>
      <w:r w:rsidR="00837BD6">
        <w:t xml:space="preserve"> can pack in more individuals than communities exhibiting skewed, higher-variance distributions</w:t>
      </w:r>
      <w:r w:rsidR="00A91C32">
        <w:t xml:space="preserve">. The development of formal theory linking variation in individual size distributions to cross-community scaling relationships would </w:t>
      </w:r>
      <w:r w:rsidR="00285C38">
        <w:t>greatly expand our u</w:t>
      </w:r>
      <w:r w:rsidR="001B6E3C">
        <w:t xml:space="preserve">nderstanding </w:t>
      </w:r>
      <w:r w:rsidR="00285C38">
        <w:t xml:space="preserve">of </w:t>
      </w:r>
      <w:r w:rsidR="001B6E3C">
        <w:t>how the varied relationships between size and abundance reflect</w:t>
      </w:r>
      <w:r w:rsidR="00285C38">
        <w:t xml:space="preserve"> ecological processes.</w:t>
      </w:r>
    </w:p>
    <w:p w14:paraId="145F037A" w14:textId="77777777" w:rsidR="00B6694F" w:rsidRDefault="00B6694F" w:rsidP="006F469E">
      <w:pPr>
        <w:pStyle w:val="Body"/>
        <w:spacing w:line="480" w:lineRule="auto"/>
        <w:rPr>
          <w:b/>
        </w:rPr>
      </w:pPr>
    </w:p>
    <w:p w14:paraId="40566B38" w14:textId="405F5428" w:rsidR="006F469E" w:rsidRDefault="006F469E" w:rsidP="006F469E">
      <w:pPr>
        <w:pStyle w:val="Body"/>
        <w:spacing w:line="480" w:lineRule="auto"/>
        <w:rPr>
          <w:b/>
        </w:rPr>
      </w:pPr>
      <w:r>
        <w:rPr>
          <w:b/>
        </w:rPr>
        <w:t>Acknowledgements</w:t>
      </w:r>
    </w:p>
    <w:p w14:paraId="557DBA89" w14:textId="7605A502" w:rsidR="00B6694F" w:rsidRPr="00B6694F" w:rsidRDefault="006F469E" w:rsidP="00B6694F">
      <w:pPr>
        <w:spacing w:line="480" w:lineRule="auto"/>
        <w:rPr>
          <w:rFonts w:ascii="Cambria" w:eastAsia="Times New Roman" w:hAnsi="Cambria"/>
        </w:rPr>
      </w:pPr>
      <w:r w:rsidRPr="00B6694F">
        <w:rPr>
          <w:rFonts w:ascii="Cambria" w:hAnsi="Cambria"/>
        </w:rPr>
        <w:t xml:space="preserve">The authors thank Kate </w:t>
      </w:r>
      <w:proofErr w:type="spellStart"/>
      <w:r w:rsidRPr="00B6694F">
        <w:rPr>
          <w:rFonts w:ascii="Cambria" w:hAnsi="Cambria"/>
        </w:rPr>
        <w:t>Boicourt</w:t>
      </w:r>
      <w:proofErr w:type="spellEnd"/>
      <w:r w:rsidRPr="00B6694F">
        <w:rPr>
          <w:rFonts w:ascii="Cambria" w:hAnsi="Cambria"/>
        </w:rPr>
        <w:t xml:space="preserve">, Amy </w:t>
      </w:r>
      <w:proofErr w:type="spellStart"/>
      <w:r w:rsidRPr="00B6694F">
        <w:rPr>
          <w:rFonts w:ascii="Cambria" w:hAnsi="Cambria"/>
        </w:rPr>
        <w:t>Strieter</w:t>
      </w:r>
      <w:proofErr w:type="spellEnd"/>
      <w:r w:rsidRPr="00B6694F">
        <w:rPr>
          <w:rFonts w:ascii="Cambria" w:hAnsi="Cambria"/>
        </w:rPr>
        <w:t>, Amy</w:t>
      </w:r>
      <w:r w:rsidR="00E60B4A">
        <w:rPr>
          <w:rFonts w:ascii="Cambria" w:hAnsi="Cambria"/>
        </w:rPr>
        <w:t xml:space="preserve"> Kessler, Kaleb </w:t>
      </w:r>
      <w:proofErr w:type="spellStart"/>
      <w:r w:rsidR="00E60B4A">
        <w:rPr>
          <w:rFonts w:ascii="Cambria" w:hAnsi="Cambria"/>
        </w:rPr>
        <w:t>Keyserling</w:t>
      </w:r>
      <w:proofErr w:type="spellEnd"/>
      <w:r w:rsidR="00E60B4A">
        <w:rPr>
          <w:rFonts w:ascii="Cambria" w:hAnsi="Cambria"/>
        </w:rPr>
        <w:t xml:space="preserve">, </w:t>
      </w:r>
      <w:r w:rsidRPr="00B6694F">
        <w:rPr>
          <w:rFonts w:ascii="Cambria" w:hAnsi="Cambria"/>
        </w:rPr>
        <w:t>Ellen Thompson</w:t>
      </w:r>
      <w:r w:rsidR="00E60B4A">
        <w:rPr>
          <w:rFonts w:ascii="Cambria" w:hAnsi="Cambria"/>
        </w:rPr>
        <w:t xml:space="preserve">, Peter </w:t>
      </w:r>
      <w:proofErr w:type="spellStart"/>
      <w:r w:rsidR="00E60B4A">
        <w:rPr>
          <w:rFonts w:ascii="Cambria" w:hAnsi="Cambria"/>
        </w:rPr>
        <w:t>Gaube</w:t>
      </w:r>
      <w:proofErr w:type="spellEnd"/>
      <w:r w:rsidR="00E60B4A">
        <w:rPr>
          <w:rFonts w:ascii="Cambria" w:hAnsi="Cambria"/>
        </w:rPr>
        <w:t xml:space="preserve">, and Evan </w:t>
      </w:r>
      <w:proofErr w:type="spellStart"/>
      <w:r w:rsidR="00E60B4A">
        <w:rPr>
          <w:rFonts w:ascii="Cambria" w:hAnsi="Cambria"/>
        </w:rPr>
        <w:t>Economo</w:t>
      </w:r>
      <w:proofErr w:type="spellEnd"/>
      <w:r w:rsidR="00256FD7" w:rsidRPr="00B6694F">
        <w:rPr>
          <w:rFonts w:ascii="Cambria" w:hAnsi="Cambria"/>
        </w:rPr>
        <w:t xml:space="preserve"> for field assistance, and M.H.H. Stevens for comments on an earlier draft</w:t>
      </w:r>
      <w:r w:rsidR="00E60B4A">
        <w:rPr>
          <w:rFonts w:ascii="Cambria" w:hAnsi="Cambria"/>
        </w:rPr>
        <w:t xml:space="preserve">. KTD, </w:t>
      </w:r>
      <w:r w:rsidR="002D503D" w:rsidRPr="00B6694F">
        <w:rPr>
          <w:rFonts w:ascii="Cambria" w:hAnsi="Cambria"/>
        </w:rPr>
        <w:t>AGL, NIH, and AJK were supported by the Kenyon College Summ</w:t>
      </w:r>
      <w:r w:rsidR="00E21DC8">
        <w:rPr>
          <w:rFonts w:ascii="Cambria" w:hAnsi="Cambria"/>
        </w:rPr>
        <w:t xml:space="preserve">er Science Scholars program. ANH was supported by an NSF REU grant to RMBL. </w:t>
      </w:r>
      <w:bookmarkStart w:id="0" w:name="_GoBack"/>
      <w:bookmarkEnd w:id="0"/>
      <w:r w:rsidR="002D503D" w:rsidRPr="00B6694F">
        <w:rPr>
          <w:rFonts w:ascii="Cambria" w:hAnsi="Cambria"/>
        </w:rPr>
        <w:t>AJK was supported by NSF grant DEB-</w:t>
      </w:r>
      <w:r w:rsidR="00B6694F" w:rsidRPr="00B6694F">
        <w:rPr>
          <w:rFonts w:ascii="Cambria" w:eastAsia="Times New Roman" w:hAnsi="Cambria"/>
          <w:color w:val="222222"/>
          <w:shd w:val="clear" w:color="auto" w:fill="FFFFFF"/>
        </w:rPr>
        <w:t>1556651</w:t>
      </w:r>
      <w:r w:rsidR="00B6694F">
        <w:rPr>
          <w:rFonts w:ascii="Cambria" w:eastAsia="Times New Roman" w:hAnsi="Cambria"/>
          <w:color w:val="222222"/>
          <w:shd w:val="clear" w:color="auto" w:fill="FFFFFF"/>
        </w:rPr>
        <w:t>.</w:t>
      </w:r>
    </w:p>
    <w:p w14:paraId="4E5E57E6" w14:textId="77777777" w:rsidR="00B6694F" w:rsidRDefault="00B6694F">
      <w:pPr>
        <w:pStyle w:val="Body"/>
        <w:rPr>
          <w:rFonts w:ascii="Times New Roman" w:hAnsi="Times New Roman" w:cs="Times New Roman"/>
        </w:rPr>
      </w:pPr>
    </w:p>
    <w:p w14:paraId="142D3067" w14:textId="77777777" w:rsidR="00C32436" w:rsidRDefault="0073111C">
      <w:pPr>
        <w:pStyle w:val="Body"/>
        <w:rPr>
          <w:b/>
          <w:bCs/>
        </w:rPr>
      </w:pPr>
      <w:r w:rsidRPr="009E16BD">
        <w:rPr>
          <w:b/>
          <w:bCs/>
        </w:rPr>
        <w:t>References</w:t>
      </w:r>
    </w:p>
    <w:p w14:paraId="6249600A" w14:textId="77777777" w:rsidR="00C32436" w:rsidRDefault="00C32436">
      <w:pPr>
        <w:pStyle w:val="Body"/>
      </w:pPr>
    </w:p>
    <w:p w14:paraId="5618E1A0" w14:textId="77777777" w:rsidR="00EA5BEE" w:rsidRPr="00EA5BEE" w:rsidRDefault="00EA5BEE" w:rsidP="00EA5BEE">
      <w:pPr>
        <w:pStyle w:val="Bibliography"/>
        <w:rPr>
          <w:rFonts w:ascii="Cambria" w:hAnsi="Cambria"/>
          <w:color w:val="000000"/>
        </w:rPr>
      </w:pPr>
      <w:r>
        <w:fldChar w:fldCharType="begin"/>
      </w:r>
      <w:r>
        <w:instrText xml:space="preserve"> ADDIN ZOTERO_BIBL {"custom":[]} CSL_BIBLIOGRAPHY </w:instrText>
      </w:r>
      <w:r>
        <w:fldChar w:fldCharType="separate"/>
      </w:r>
      <w:r w:rsidRPr="00EA5BEE">
        <w:rPr>
          <w:rFonts w:ascii="Cambria" w:hAnsi="Cambria"/>
          <w:color w:val="000000"/>
        </w:rPr>
        <w:t>Anfodillo, T., M. Carrer, F. Simini, I. Popa, J. R. Banavar, and A. Maritan. 2013. An allometry-based approach for understanding forest structure, predicting tree-size distribution and assessing the degree of disturbance. Proceedings of the Royal Society B-Biological Sciences 280:20122375.</w:t>
      </w:r>
    </w:p>
    <w:p w14:paraId="13948D12" w14:textId="77777777" w:rsidR="00EA5BEE" w:rsidRPr="00EA5BEE" w:rsidRDefault="00EA5BEE" w:rsidP="00EA5BEE">
      <w:pPr>
        <w:pStyle w:val="Bibliography"/>
        <w:rPr>
          <w:rFonts w:ascii="Cambria" w:hAnsi="Cambria"/>
          <w:color w:val="000000"/>
        </w:rPr>
      </w:pPr>
      <w:r w:rsidRPr="00EA5BEE">
        <w:rPr>
          <w:rFonts w:ascii="Cambria" w:hAnsi="Cambria"/>
          <w:color w:val="000000"/>
        </w:rPr>
        <w:t>Bond, W. J., and J. J. Midgley. 2001. Ecology of sprouting in woody plants: the persistence niche. Trends in Ecology &amp; Evolution 16:45–51.</w:t>
      </w:r>
    </w:p>
    <w:p w14:paraId="44F4AC21" w14:textId="77777777" w:rsidR="00EA5BEE" w:rsidRPr="00EA5BEE" w:rsidRDefault="00EA5BEE" w:rsidP="00EA5BEE">
      <w:pPr>
        <w:pStyle w:val="Bibliography"/>
        <w:rPr>
          <w:rFonts w:ascii="Cambria" w:hAnsi="Cambria"/>
          <w:color w:val="000000"/>
        </w:rPr>
      </w:pPr>
      <w:r w:rsidRPr="00EA5BEE">
        <w:rPr>
          <w:rFonts w:ascii="Cambria" w:hAnsi="Cambria"/>
          <w:color w:val="000000"/>
        </w:rPr>
        <w:t>Bryant, J. A., C. Lamanna, H. Morlon, A. J. Kerkhoff, B. J. Enquist, and J. L. Green. 2008. Microbes on mountainsides: contrasting elevational patterns of bacterial and plant diversity. Proceedings of the National Academy of Sciences of the United States of America In Press.</w:t>
      </w:r>
    </w:p>
    <w:p w14:paraId="797C377D" w14:textId="77777777" w:rsidR="00EA5BEE" w:rsidRPr="00EA5BEE" w:rsidRDefault="00EA5BEE" w:rsidP="00EA5BEE">
      <w:pPr>
        <w:pStyle w:val="Bibliography"/>
        <w:rPr>
          <w:rFonts w:ascii="Cambria" w:hAnsi="Cambria"/>
          <w:color w:val="000000"/>
        </w:rPr>
      </w:pPr>
      <w:r w:rsidRPr="00EA5BEE">
        <w:rPr>
          <w:rFonts w:ascii="Cambria" w:hAnsi="Cambria"/>
          <w:color w:val="000000"/>
        </w:rPr>
        <w:t>Chu, C.-J., J. Weiner, F. T. Maestre, Y.-S. Wang, C. Morris, S. Xiao, J.-L. Yuan, G.-Z. Du, and G. Wang. 2010. Effects of positive interactions, size symmetry of competition and abiotic stress on self-thinning in simulated plant populations. Annals of Botany 106:647–652.</w:t>
      </w:r>
    </w:p>
    <w:p w14:paraId="2D69BDE2" w14:textId="77777777" w:rsidR="00EA5BEE" w:rsidRPr="00EA5BEE" w:rsidRDefault="00EA5BEE" w:rsidP="00EA5BEE">
      <w:pPr>
        <w:pStyle w:val="Bibliography"/>
        <w:rPr>
          <w:rFonts w:ascii="Cambria" w:hAnsi="Cambria"/>
          <w:color w:val="000000"/>
        </w:rPr>
      </w:pPr>
      <w:r w:rsidRPr="00EA5BEE">
        <w:rPr>
          <w:rFonts w:ascii="Cambria" w:hAnsi="Cambria"/>
          <w:color w:val="000000"/>
        </w:rPr>
        <w:t>Coomes, D. A., R. P. Duncan, R. B. Allen, and J. Truscott. 2003. Disturbances prevent stem size-density distributions in natural forests from following scaling relationships. Ecology Letters 6:980–989.</w:t>
      </w:r>
    </w:p>
    <w:p w14:paraId="4CA64A29" w14:textId="77777777" w:rsidR="00EA5BEE" w:rsidRPr="00EA5BEE" w:rsidRDefault="00EA5BEE" w:rsidP="00EA5BEE">
      <w:pPr>
        <w:pStyle w:val="Bibliography"/>
        <w:rPr>
          <w:rFonts w:ascii="Cambria" w:hAnsi="Cambria"/>
          <w:color w:val="000000"/>
        </w:rPr>
      </w:pPr>
      <w:r w:rsidRPr="00EA5BEE">
        <w:rPr>
          <w:rFonts w:ascii="Cambria" w:hAnsi="Cambria"/>
          <w:color w:val="000000"/>
        </w:rPr>
        <w:t>Deng, J., W. Zuo, Z. Wang, Z. Fan, M. Ji, G. Wang, J. Ran, C. Zhao, J. Liu, K. J. Niklas, S. T. Hammond, and J. H. Brown. 2012. Insights into plant size-density relationships from models and agricultural crops. Proceedings of the National Academy of Sciences 109:8600–8605.</w:t>
      </w:r>
    </w:p>
    <w:p w14:paraId="2277F68A"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A. P. Allen, J. H. Brown, J. F. Gillooly, A. J. Kerkhoff, K. J. Niklas, C. A. Price, and G. B. West. 2007. Does the exception prove the rule? Nature 445:E9–E10.</w:t>
      </w:r>
    </w:p>
    <w:p w14:paraId="6F39D855"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J. H. Brown, and G. B. West. 1998. Allometric scaling of plant energetics and population density. Nature 395:163–165.</w:t>
      </w:r>
    </w:p>
    <w:p w14:paraId="192D2AAB" w14:textId="77777777" w:rsidR="00EA5BEE" w:rsidRPr="00EA5BEE" w:rsidRDefault="00EA5BEE" w:rsidP="00EA5BEE">
      <w:pPr>
        <w:pStyle w:val="Bibliography"/>
        <w:rPr>
          <w:rFonts w:ascii="Cambria" w:hAnsi="Cambria"/>
          <w:color w:val="000000"/>
        </w:rPr>
      </w:pPr>
      <w:r w:rsidRPr="00EA5BEE">
        <w:rPr>
          <w:rFonts w:ascii="Cambria" w:hAnsi="Cambria"/>
          <w:color w:val="000000"/>
        </w:rPr>
        <w:t>Enquist, B. J., and K. J. Niklas. 2001. Invariant scaling relations across tree-dominated communities. Nature 410:655–660.</w:t>
      </w:r>
    </w:p>
    <w:p w14:paraId="74CAAA46" w14:textId="77777777" w:rsidR="00EA5BEE" w:rsidRPr="00EA5BEE" w:rsidRDefault="00EA5BEE" w:rsidP="00EA5BEE">
      <w:pPr>
        <w:pStyle w:val="Bibliography"/>
        <w:rPr>
          <w:rFonts w:ascii="Cambria" w:hAnsi="Cambria"/>
          <w:color w:val="000000"/>
        </w:rPr>
      </w:pPr>
      <w:r w:rsidRPr="00EA5BEE">
        <w:rPr>
          <w:rFonts w:ascii="Cambria" w:hAnsi="Cambria"/>
          <w:color w:val="000000"/>
        </w:rPr>
        <w:t>Jenkins, J. C., D. C. Chojnacky, L. S. Heath, and R. A. Birdsey. 2003. National-scale biomass estimators for United States tree species. Forest Science 49:12–35.</w:t>
      </w:r>
    </w:p>
    <w:p w14:paraId="1DF33C90" w14:textId="77777777" w:rsidR="00EA5BEE" w:rsidRPr="00EA5BEE" w:rsidRDefault="00EA5BEE" w:rsidP="00EA5BEE">
      <w:pPr>
        <w:pStyle w:val="Bibliography"/>
        <w:rPr>
          <w:rFonts w:ascii="Cambria" w:hAnsi="Cambria"/>
          <w:color w:val="000000"/>
        </w:rPr>
      </w:pPr>
      <w:r w:rsidRPr="00EA5BEE">
        <w:rPr>
          <w:rFonts w:ascii="Cambria" w:hAnsi="Cambria"/>
          <w:color w:val="000000"/>
        </w:rPr>
        <w:t>Kerkhoff, A. J., and B. J. Enquist. 2007. The implications of scaling approaches for understanding resilience and reorganization in ecosystems. Bioscience 57:489–499.</w:t>
      </w:r>
    </w:p>
    <w:p w14:paraId="176720FA" w14:textId="77777777" w:rsidR="00EA5BEE" w:rsidRPr="00EA5BEE" w:rsidRDefault="00EA5BEE" w:rsidP="00EA5BEE">
      <w:pPr>
        <w:pStyle w:val="Bibliography"/>
        <w:rPr>
          <w:rFonts w:ascii="Cambria" w:hAnsi="Cambria"/>
          <w:color w:val="000000"/>
        </w:rPr>
      </w:pPr>
      <w:r w:rsidRPr="00EA5BEE">
        <w:rPr>
          <w:rFonts w:ascii="Cambria" w:hAnsi="Cambria"/>
          <w:color w:val="000000"/>
        </w:rPr>
        <w:t>Kikuzawa, K. 1999. Theoretical relationships between mean plant size  size distribution and self thinning under one-sided competition. Annals of Botany 83:11–18.</w:t>
      </w:r>
    </w:p>
    <w:p w14:paraId="6A68E74B" w14:textId="77777777" w:rsidR="00EA5BEE" w:rsidRPr="00EA5BEE" w:rsidRDefault="00EA5BEE" w:rsidP="00EA5BEE">
      <w:pPr>
        <w:pStyle w:val="Bibliography"/>
        <w:rPr>
          <w:rFonts w:ascii="Cambria" w:hAnsi="Cambria"/>
          <w:color w:val="000000"/>
        </w:rPr>
      </w:pPr>
      <w:r w:rsidRPr="00EA5BEE">
        <w:rPr>
          <w:rFonts w:ascii="Cambria" w:hAnsi="Cambria"/>
          <w:color w:val="000000"/>
        </w:rPr>
        <w:t>Kitajima, K. 1994. Relative Importance Of Photosynthetic Traits And Allocation Patterns As Correlates Of Seedling Shade Tolerance Of 13 Tropical Trees. Oecologia 98:419–428.</w:t>
      </w:r>
    </w:p>
    <w:p w14:paraId="557E053B" w14:textId="77777777" w:rsidR="00EA5BEE" w:rsidRPr="00EA5BEE" w:rsidRDefault="00EA5BEE" w:rsidP="00EA5BEE">
      <w:pPr>
        <w:pStyle w:val="Bibliography"/>
        <w:rPr>
          <w:rFonts w:ascii="Cambria" w:hAnsi="Cambria"/>
          <w:color w:val="000000"/>
        </w:rPr>
      </w:pPr>
      <w:r w:rsidRPr="00EA5BEE">
        <w:rPr>
          <w:rFonts w:ascii="Cambria" w:hAnsi="Cambria"/>
          <w:color w:val="000000"/>
        </w:rPr>
        <w:t>Lai, J., D. A. Coomes, X. Du, C. Hsieh, I.-F. Sun, W.-C. Chao, X. Mi, H. Ren, X. Wang, Z. Hao, and K. Ma. 2013. A general combined model to describe tree-diameter distributions within subtropical and temperate forest communities. Oikos 122:1636–1642.</w:t>
      </w:r>
    </w:p>
    <w:p w14:paraId="5E9B923B" w14:textId="77777777" w:rsidR="00EA5BEE" w:rsidRPr="00EA5BEE" w:rsidRDefault="00EA5BEE" w:rsidP="00EA5BEE">
      <w:pPr>
        <w:pStyle w:val="Bibliography"/>
        <w:rPr>
          <w:rFonts w:ascii="Cambria" w:hAnsi="Cambria"/>
          <w:color w:val="000000"/>
        </w:rPr>
      </w:pPr>
      <w:r w:rsidRPr="00EA5BEE">
        <w:rPr>
          <w:rFonts w:ascii="Cambria" w:hAnsi="Cambria"/>
          <w:color w:val="000000"/>
        </w:rPr>
        <w:t>Miriti, M. N. 2006. Ontogenetic shift from facilitation to competition in a desert shrub. Journal of Ecology 94:973–979.</w:t>
      </w:r>
    </w:p>
    <w:p w14:paraId="1145CD8F" w14:textId="77777777" w:rsidR="00EA5BEE" w:rsidRPr="00EA5BEE" w:rsidRDefault="00EA5BEE" w:rsidP="00EA5BEE">
      <w:pPr>
        <w:pStyle w:val="Bibliography"/>
        <w:rPr>
          <w:rFonts w:ascii="Cambria" w:hAnsi="Cambria"/>
          <w:color w:val="000000"/>
        </w:rPr>
      </w:pPr>
      <w:r w:rsidRPr="00EA5BEE">
        <w:rPr>
          <w:rFonts w:ascii="Cambria" w:hAnsi="Cambria"/>
          <w:color w:val="000000"/>
        </w:rPr>
        <w:t>Mori, S., K. Yamaji, A. Ishida, S. G. Prokushkin, O. V. Masyagina, A. Hagihara, A. T. M. R. Hoque, R. Suwa, A. Osawa, T. Nishizono, T. Ueda, M. Kinjo, T. Miyagi, T. Kajimoto, T. Koike, Y. Matsuura, T. Toma, O. A. Zyryanova, A. P. Abaimov, Y. Awaya, M. G. Araki, T. Kawasaki, Y. Chiba, and M. Umari. 2010. Mixed-power scaling of whole-plant respiration from seedlings to giant trees. Proceedings of the National Academy of Sciences of the United States of America 107:1447–1451.</w:t>
      </w:r>
    </w:p>
    <w:p w14:paraId="3DEB9E8C" w14:textId="77777777" w:rsidR="00EA5BEE" w:rsidRPr="00EA5BEE" w:rsidRDefault="00EA5BEE" w:rsidP="00EA5BEE">
      <w:pPr>
        <w:pStyle w:val="Bibliography"/>
        <w:rPr>
          <w:rFonts w:ascii="Cambria" w:hAnsi="Cambria"/>
          <w:color w:val="000000"/>
        </w:rPr>
      </w:pPr>
      <w:r w:rsidRPr="00EA5BEE">
        <w:rPr>
          <w:rFonts w:ascii="Cambria" w:hAnsi="Cambria"/>
          <w:color w:val="000000"/>
        </w:rPr>
        <w:t>Muller-Landau, H. C., R. S. Condit, J. Chave, S. C. Thomas, S. A. Bohlman, S. Bunyavejchewin, S. Davies, R. Foster, S. Gunatilleke, N. Gunatilleke, K. E. Harms, T. Hart, S. P. Hubbell, A. Itoh, A. R. Kassim, J. V. LaFrankie, H. S. Lee, E. Losos, J. R. Makana, T. Ohkubo, R. Sukumar, I. F. Sun, N. M. N. Supardi, S. Tan, J. Thompson, R. Valencia, G. V. Munoz, C. Wills, T. Yamakura, G. Chuyong, H. S. Dattaraja, S. Esufali, P. Hall, C. Hernandez, D. Kenfack, S. Kiratiprayoon, H. S. Suresh, D. Thomas, M. I. Vallejo, and P. Ashton. 2006a. Testing metabolic ecology theory for allometric scaling of tree size, growth and mortality in tropical forests. Ecology Letters 9:575–588.</w:t>
      </w:r>
    </w:p>
    <w:p w14:paraId="132E3229" w14:textId="77777777" w:rsidR="00EA5BEE" w:rsidRPr="00EA5BEE" w:rsidRDefault="00EA5BEE" w:rsidP="00EA5BEE">
      <w:pPr>
        <w:pStyle w:val="Bibliography"/>
        <w:rPr>
          <w:rFonts w:ascii="Cambria" w:hAnsi="Cambria"/>
          <w:color w:val="000000"/>
        </w:rPr>
      </w:pPr>
      <w:r w:rsidRPr="00EA5BEE">
        <w:rPr>
          <w:rFonts w:ascii="Cambria" w:hAnsi="Cambria"/>
          <w:color w:val="000000"/>
        </w:rPr>
        <w:t>Muller-Landau, H. C., R. S. Condit, K. E. Harms, C. O. Marks, S. C. Thomas, S. Bunyavejchewin, G. Chuyong, L. Co, S. Davies, R. Foster, S. Gunatilleke, N. Gunatilleke, T. Hart, S. P. Hubbell, A. Itoh, A. R. Kassim, D. Kenfack, J. V. LaFrankie, D. Lagunzad, H. S. Lee, E. Losos, J. R. Makana, T. Ohkubo, C. Samper, R. Sukumar, I. F. Sun, N. M. N. Supardi, S. Tan, D. Thomas, J. Thompson, R. Valencia, M. I. Vallejo, G. V. Munoz, T. Yamakura, J. K. Zimmerman, H. S. Dattaraja, S. Esufali, P. Hall, F. L. He, C. Hernandez, S. Kiratiprayoon, H. S. Suresh, C. Wills, and P. Ashton. 2006b. Comparing tropical forest tree size distributions with the predictions of metabolic ecology and equilibrium models. Ecology Letters 9:589–602.</w:t>
      </w:r>
    </w:p>
    <w:p w14:paraId="6E470571" w14:textId="77777777" w:rsidR="00EA5BEE" w:rsidRPr="00EA5BEE" w:rsidRDefault="00EA5BEE" w:rsidP="00EA5BEE">
      <w:pPr>
        <w:pStyle w:val="Bibliography"/>
        <w:rPr>
          <w:rFonts w:ascii="Cambria" w:hAnsi="Cambria"/>
          <w:color w:val="000000"/>
        </w:rPr>
      </w:pPr>
      <w:r w:rsidRPr="00EA5BEE">
        <w:rPr>
          <w:rFonts w:ascii="Cambria" w:hAnsi="Cambria"/>
          <w:color w:val="000000"/>
        </w:rPr>
        <w:t>Niklas, K. J., J. J. Midgley, and R. H. Rand. 2003. Tree size frequency distributions, plant density, age and community disturbance. Ecology Letters 6:405–411.</w:t>
      </w:r>
    </w:p>
    <w:p w14:paraId="35A8A2E2" w14:textId="77777777" w:rsidR="00EA5BEE" w:rsidRPr="00EA5BEE" w:rsidRDefault="00EA5BEE" w:rsidP="00EA5BEE">
      <w:pPr>
        <w:pStyle w:val="Bibliography"/>
        <w:rPr>
          <w:rFonts w:ascii="Cambria" w:hAnsi="Cambria"/>
          <w:color w:val="000000"/>
        </w:rPr>
      </w:pPr>
      <w:r w:rsidRPr="00EA5BEE">
        <w:rPr>
          <w:rFonts w:ascii="Cambria" w:hAnsi="Cambria"/>
          <w:color w:val="000000"/>
        </w:rPr>
        <w:t>Reich, P. B., M. G. Tjoelker, J. L. Machado, and J. Oleksyn. 2006. Universal scaling of respiratory metabolism, size and nitrogen in plants. Nature 439:457–461.</w:t>
      </w:r>
    </w:p>
    <w:p w14:paraId="217D820F" w14:textId="77777777" w:rsidR="00EA5BEE" w:rsidRPr="00EA5BEE" w:rsidRDefault="00EA5BEE" w:rsidP="00EA5BEE">
      <w:pPr>
        <w:pStyle w:val="Bibliography"/>
        <w:rPr>
          <w:rFonts w:ascii="Cambria" w:hAnsi="Cambria"/>
          <w:color w:val="000000"/>
        </w:rPr>
      </w:pPr>
      <w:r w:rsidRPr="00EA5BEE">
        <w:rPr>
          <w:rFonts w:ascii="Cambria" w:hAnsi="Cambria"/>
          <w:color w:val="000000"/>
        </w:rPr>
        <w:t>Sloat, L. L., A. N. Henderson, C. Lamanna, and B. J. Enquist. 2015. The Effect of the Foresummer Drought on Carbon Exchange in Subalpine Meadows. Ecosystems 18:533–545.</w:t>
      </w:r>
    </w:p>
    <w:p w14:paraId="66F337A3" w14:textId="77777777" w:rsidR="00EA5BEE" w:rsidRPr="00EA5BEE" w:rsidRDefault="00EA5BEE" w:rsidP="00EA5BEE">
      <w:pPr>
        <w:pStyle w:val="Bibliography"/>
        <w:rPr>
          <w:rFonts w:ascii="Cambria" w:hAnsi="Cambria"/>
          <w:color w:val="000000"/>
        </w:rPr>
      </w:pPr>
      <w:r w:rsidRPr="00EA5BEE">
        <w:rPr>
          <w:rFonts w:ascii="Cambria" w:hAnsi="Cambria"/>
          <w:color w:val="000000"/>
        </w:rPr>
        <w:t>Stegen, J. C., and E. P. White. 2008. On the relationship between mass and diameter distributions in tree communities. Ecology Letters 11:1287–1293.</w:t>
      </w:r>
    </w:p>
    <w:p w14:paraId="1BAA5F47" w14:textId="77777777" w:rsidR="00EA5BEE" w:rsidRPr="00EA5BEE" w:rsidRDefault="00EA5BEE" w:rsidP="00EA5BEE">
      <w:pPr>
        <w:pStyle w:val="Bibliography"/>
        <w:rPr>
          <w:rFonts w:ascii="Cambria" w:hAnsi="Cambria"/>
          <w:color w:val="000000"/>
        </w:rPr>
      </w:pPr>
      <w:r w:rsidRPr="00EA5BEE">
        <w:rPr>
          <w:rFonts w:ascii="Cambria" w:hAnsi="Cambria"/>
          <w:color w:val="000000"/>
        </w:rPr>
        <w:t>Stoll, P., J. Weiner, H. Muller-Landau, E. Muller, and T. Hara. 2002. Size symmetry of competition alters biomass-density relationships. Proceedings of the Royal Society of London Series B-Biological Sciences 269:2191–2195.</w:t>
      </w:r>
    </w:p>
    <w:p w14:paraId="7215F251" w14:textId="77777777" w:rsidR="00EA5BEE" w:rsidRPr="00EA5BEE" w:rsidRDefault="00EA5BEE" w:rsidP="00EA5BEE">
      <w:pPr>
        <w:pStyle w:val="Bibliography"/>
        <w:rPr>
          <w:rFonts w:ascii="Cambria" w:hAnsi="Cambria"/>
          <w:color w:val="000000"/>
        </w:rPr>
      </w:pPr>
      <w:r w:rsidRPr="00EA5BEE">
        <w:rPr>
          <w:rFonts w:ascii="Cambria" w:hAnsi="Cambria"/>
          <w:color w:val="000000"/>
        </w:rPr>
        <w:t>Venable, D. L., and J. S. Brown. 1988. The Selective Interactions of Dispersal  Dormancy  and Seed Size as Adaptations for Reducing Risk in Variable Environments. American Naturalist 131:360–384.</w:t>
      </w:r>
    </w:p>
    <w:p w14:paraId="4EFE1139" w14:textId="77777777" w:rsidR="00EA5BEE" w:rsidRPr="00EA5BEE" w:rsidRDefault="00EA5BEE" w:rsidP="00EA5BEE">
      <w:pPr>
        <w:pStyle w:val="Bibliography"/>
        <w:rPr>
          <w:rFonts w:ascii="Cambria" w:hAnsi="Cambria"/>
          <w:color w:val="000000"/>
        </w:rPr>
      </w:pPr>
      <w:r w:rsidRPr="00EA5BEE">
        <w:rPr>
          <w:rFonts w:ascii="Cambria" w:hAnsi="Cambria"/>
          <w:color w:val="000000"/>
        </w:rPr>
        <w:t>Walters, M. B., and P. B. Reich. 1996. Are shade tolerance, survival, and growth linked? Low light and, nitrogen effects on hardwood seedlings. Ecology 77:841–853.</w:t>
      </w:r>
    </w:p>
    <w:p w14:paraId="03E7A508" w14:textId="77777777" w:rsidR="00EA5BEE" w:rsidRPr="00EA5BEE" w:rsidRDefault="00EA5BEE" w:rsidP="00EA5BEE">
      <w:pPr>
        <w:pStyle w:val="Bibliography"/>
        <w:rPr>
          <w:rFonts w:ascii="Cambria" w:hAnsi="Cambria"/>
          <w:color w:val="000000"/>
        </w:rPr>
      </w:pPr>
      <w:r w:rsidRPr="00EA5BEE">
        <w:rPr>
          <w:rFonts w:ascii="Cambria" w:hAnsi="Cambria"/>
          <w:color w:val="000000"/>
        </w:rPr>
        <w:t>Weller, D. E. 1987a. A Reevaluation of the -3/2 Power Rule of Plant Self-Thinning. Ecological Monographs 57:23–43.</w:t>
      </w:r>
    </w:p>
    <w:p w14:paraId="68B2D7E8" w14:textId="77777777" w:rsidR="00EA5BEE" w:rsidRPr="00EA5BEE" w:rsidRDefault="00EA5BEE" w:rsidP="00EA5BEE">
      <w:pPr>
        <w:pStyle w:val="Bibliography"/>
        <w:rPr>
          <w:rFonts w:ascii="Cambria" w:hAnsi="Cambria"/>
          <w:color w:val="000000"/>
        </w:rPr>
      </w:pPr>
      <w:r w:rsidRPr="00EA5BEE">
        <w:rPr>
          <w:rFonts w:ascii="Cambria" w:hAnsi="Cambria"/>
          <w:color w:val="000000"/>
        </w:rPr>
        <w:t>Weller, D. E. 1987b. Self-Thinning Exponent Correlated with Allometric Measures of Plant Geometry. Ecology 68:813–821.</w:t>
      </w:r>
    </w:p>
    <w:p w14:paraId="3011BB5F"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1977. Self-Thinning Driven by Leaf Area Not by Weight. Nature 265:330–331.</w:t>
      </w:r>
    </w:p>
    <w:p w14:paraId="334DE80E"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1981. The Place of the Self-Thinning Rule in Population-Dynamics. American Naturalist 118:581–587.</w:t>
      </w:r>
    </w:p>
    <w:p w14:paraId="4ECC31EF"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1984. The Self-Thinning Rule. Advances in Ecological Research 14:167–225.</w:t>
      </w:r>
    </w:p>
    <w:p w14:paraId="0AA4774B" w14:textId="77777777" w:rsidR="00EA5BEE" w:rsidRPr="00EA5BEE" w:rsidRDefault="00EA5BEE" w:rsidP="00EA5BEE">
      <w:pPr>
        <w:pStyle w:val="Bibliography"/>
        <w:rPr>
          <w:rFonts w:ascii="Cambria" w:hAnsi="Cambria"/>
          <w:color w:val="000000"/>
        </w:rPr>
      </w:pPr>
      <w:r w:rsidRPr="00EA5BEE">
        <w:rPr>
          <w:rFonts w:ascii="Cambria" w:hAnsi="Cambria"/>
          <w:color w:val="000000"/>
        </w:rPr>
        <w:t>Westoby, M., and J. Howell. 1986. Influence of Population-Structure on Self-Thinning of Plant- Populations. Journal of Ecology 74:343–359.</w:t>
      </w:r>
    </w:p>
    <w:p w14:paraId="62812713" w14:textId="77777777" w:rsidR="00EA5BEE" w:rsidRPr="00EA5BEE" w:rsidRDefault="00EA5BEE" w:rsidP="00EA5BEE">
      <w:pPr>
        <w:pStyle w:val="Bibliography"/>
        <w:rPr>
          <w:rFonts w:ascii="Cambria" w:hAnsi="Cambria"/>
          <w:color w:val="000000"/>
        </w:rPr>
      </w:pPr>
      <w:r w:rsidRPr="00EA5BEE">
        <w:rPr>
          <w:rFonts w:ascii="Cambria" w:hAnsi="Cambria"/>
          <w:color w:val="000000"/>
        </w:rPr>
        <w:t>White, E. P., B. J. Enquist, and J. L. Green. 2008. On estimating the exponent of power-law frequency distributions. Ecology 89:905–912.</w:t>
      </w:r>
    </w:p>
    <w:p w14:paraId="0FC4F1E6" w14:textId="77777777" w:rsidR="00EA5BEE" w:rsidRPr="00EA5BEE" w:rsidRDefault="00EA5BEE" w:rsidP="00EA5BEE">
      <w:pPr>
        <w:pStyle w:val="Bibliography"/>
        <w:rPr>
          <w:rFonts w:ascii="Cambria" w:hAnsi="Cambria"/>
          <w:color w:val="000000"/>
        </w:rPr>
      </w:pPr>
      <w:r w:rsidRPr="00EA5BEE">
        <w:rPr>
          <w:rFonts w:ascii="Cambria" w:hAnsi="Cambria"/>
          <w:color w:val="000000"/>
        </w:rPr>
        <w:t>White, E. P., S. K. M. Ernest, A. J. Kerkhoff, and B. J. Enquist. 2007. Relationships between body size and abundance in ecology. Trends in Ecology &amp; Evolution 22:323–330.</w:t>
      </w:r>
    </w:p>
    <w:p w14:paraId="1180D0E9" w14:textId="77777777" w:rsidR="00EA5BEE" w:rsidRPr="00EA5BEE" w:rsidRDefault="00EA5BEE" w:rsidP="00EA5BEE">
      <w:pPr>
        <w:pStyle w:val="Bibliography"/>
        <w:rPr>
          <w:rFonts w:ascii="Cambria" w:hAnsi="Cambria"/>
          <w:color w:val="000000"/>
        </w:rPr>
      </w:pPr>
      <w:r w:rsidRPr="00EA5BEE">
        <w:rPr>
          <w:rFonts w:ascii="Cambria" w:hAnsi="Cambria"/>
          <w:color w:val="000000"/>
        </w:rPr>
        <w:t>White, J. 1981. The Allometric Interpretation of the Self-Thinning Rule. Journal of Theoretical Biology 89:475–500.</w:t>
      </w:r>
    </w:p>
    <w:p w14:paraId="15DB31A5" w14:textId="77777777" w:rsidR="00EA5BEE" w:rsidRPr="00EA5BEE" w:rsidRDefault="00EA5BEE" w:rsidP="00EA5BEE">
      <w:pPr>
        <w:pStyle w:val="Bibliography"/>
        <w:rPr>
          <w:rFonts w:ascii="Cambria" w:hAnsi="Cambria"/>
          <w:color w:val="000000"/>
        </w:rPr>
      </w:pPr>
      <w:r w:rsidRPr="00EA5BEE">
        <w:rPr>
          <w:rFonts w:ascii="Cambria" w:hAnsi="Cambria"/>
          <w:color w:val="000000"/>
        </w:rPr>
        <w:t>Yoda, K., T. Kira, H. Ogawa, and K. Hozumi. 1963. Intraspecific competition among higher plants IX. Self-thinning in overcrowded pure stands under cultivation and natural conditions. Journal of Biology, Osaka City University 14:107–129.</w:t>
      </w:r>
    </w:p>
    <w:p w14:paraId="42DB0FC4" w14:textId="14FBC150" w:rsidR="00C32436" w:rsidRDefault="00EA5BEE">
      <w:pPr>
        <w:pStyle w:val="Body"/>
        <w:rPr>
          <w:b/>
          <w:bCs/>
        </w:rPr>
      </w:pPr>
      <w:r>
        <w:fldChar w:fldCharType="end"/>
      </w:r>
    </w:p>
    <w:p w14:paraId="1C150889" w14:textId="77777777" w:rsidR="00B6694F" w:rsidRDefault="00B6694F">
      <w:pPr>
        <w:pStyle w:val="Body"/>
        <w:rPr>
          <w:b/>
          <w:bCs/>
        </w:rPr>
      </w:pPr>
    </w:p>
    <w:p w14:paraId="1B0B68CD" w14:textId="63AED17E" w:rsidR="00C32436" w:rsidRDefault="00B6694F">
      <w:pPr>
        <w:pStyle w:val="Body"/>
        <w:rPr>
          <w:b/>
          <w:bCs/>
        </w:rPr>
      </w:pPr>
      <w:r>
        <w:rPr>
          <w:b/>
          <w:bCs/>
        </w:rPr>
        <w:t>Tables</w:t>
      </w:r>
    </w:p>
    <w:p w14:paraId="1FC03D64" w14:textId="77777777" w:rsidR="00C32436" w:rsidRDefault="00C32436">
      <w:pPr>
        <w:pStyle w:val="Body"/>
      </w:pPr>
    </w:p>
    <w:p w14:paraId="2CFFF2A8" w14:textId="62B3B2C1" w:rsidR="00C32436" w:rsidRDefault="0073111C">
      <w:pPr>
        <w:pStyle w:val="Body"/>
      </w:pPr>
      <w:r w:rsidRPr="003D2F63">
        <w:rPr>
          <w:b/>
        </w:rPr>
        <w:t>Table 1.</w:t>
      </w:r>
      <w:r>
        <w:t xml:space="preserve"> The sites surveyed in this study; their sample sizes in area and number of plants. </w:t>
      </w:r>
      <w:r w:rsidR="003D2F63">
        <w:t>BFEC is the</w:t>
      </w:r>
      <w:r>
        <w:t xml:space="preserve"> Brown Family Environ</w:t>
      </w:r>
      <w:r w:rsidR="003D2F63">
        <w:t>mental Center, Gambier, OH. RMBL is</w:t>
      </w:r>
      <w:r>
        <w:t xml:space="preserve"> </w:t>
      </w:r>
      <w:r w:rsidR="003D2F63">
        <w:t xml:space="preserve">the </w:t>
      </w:r>
      <w:r>
        <w:t xml:space="preserve">Rocky Mountain Biological Lab in Gothic, Colorado. </w:t>
      </w:r>
      <w:r w:rsidR="003D2F63">
        <w:t xml:space="preserve">THDL is the </w:t>
      </w:r>
      <w:proofErr w:type="spellStart"/>
      <w:r>
        <w:t>Tumamaoc</w:t>
      </w:r>
      <w:proofErr w:type="spellEnd"/>
      <w:r>
        <w:t xml:space="preserve"> Hill </w:t>
      </w:r>
      <w:r w:rsidR="003D2F63">
        <w:t xml:space="preserve">Desert Laboratory </w:t>
      </w:r>
      <w:r>
        <w:t>in Tu</w:t>
      </w:r>
      <w:r w:rsidR="000A528E">
        <w:t>cs</w:t>
      </w:r>
      <w:r>
        <w:t xml:space="preserve">on, Arizona. </w:t>
      </w:r>
    </w:p>
    <w:p w14:paraId="720CDBE3" w14:textId="77777777" w:rsidR="00C32436" w:rsidRDefault="00C32436">
      <w:pPr>
        <w:pStyle w:val="Body"/>
      </w:pPr>
    </w:p>
    <w:tbl>
      <w:tblPr>
        <w:tblW w:w="78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
        <w:gridCol w:w="1620"/>
        <w:gridCol w:w="1946"/>
        <w:gridCol w:w="1474"/>
        <w:gridCol w:w="1774"/>
      </w:tblGrid>
      <w:tr w:rsidR="00EC5EBB" w14:paraId="581D126A"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25C90E4" w14:textId="77777777" w:rsidR="00C32436" w:rsidRDefault="0073111C">
            <w:pPr>
              <w:pStyle w:val="Body"/>
              <w:ind w:left="72"/>
            </w:pPr>
            <w:r>
              <w:rPr>
                <w:sz w:val="22"/>
                <w:szCs w:val="22"/>
              </w:rPr>
              <w:t>Locale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2F7DBA" w14:textId="05F821DA" w:rsidR="00C32436" w:rsidRDefault="00EC5EBB">
            <w:pPr>
              <w:pStyle w:val="Body"/>
              <w:ind w:left="72"/>
            </w:pPr>
            <w:r>
              <w:rPr>
                <w:sz w:val="22"/>
                <w:szCs w:val="22"/>
              </w:rPr>
              <w:t>Community</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2F00" w14:textId="7FE931BD" w:rsidR="00C32436" w:rsidRDefault="00861993">
            <w:pPr>
              <w:pStyle w:val="Body"/>
            </w:pPr>
            <w:r>
              <w:t>M</w:t>
            </w:r>
            <w:r w:rsidR="00EC5EBB">
              <w:t xml:space="preserve">ass </w:t>
            </w:r>
            <w:r>
              <w:t xml:space="preserve">Range </w:t>
            </w:r>
            <w:r w:rsidR="00EC5EBB">
              <w:t>(g)</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D218" w14:textId="2B974A13" w:rsidR="00C32436" w:rsidRDefault="0073111C">
            <w:pPr>
              <w:pStyle w:val="Body"/>
            </w:pPr>
            <w:r>
              <w:rPr>
                <w:sz w:val="22"/>
                <w:szCs w:val="22"/>
              </w:rPr>
              <w:t>Plant</w:t>
            </w:r>
            <w:r w:rsidR="00EC5EBB">
              <w:rPr>
                <w:sz w:val="22"/>
                <w:szCs w:val="22"/>
              </w:rPr>
              <w:t xml:space="preserve"> N / Density (m</w:t>
            </w:r>
            <w:r w:rsidR="00EC5EBB" w:rsidRPr="00EC5EBB">
              <w:rPr>
                <w:sz w:val="22"/>
                <w:szCs w:val="22"/>
                <w:vertAlign w:val="superscript"/>
              </w:rPr>
              <w:t>-2</w:t>
            </w:r>
            <w:r w:rsidR="00EC5EBB">
              <w:rPr>
                <w:sz w:val="22"/>
                <w:szCs w:val="22"/>
              </w:rPr>
              <w:t>)</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57AFE" w14:textId="77777777" w:rsidR="00084357" w:rsidRDefault="00084357">
            <w:pPr>
              <w:pStyle w:val="Body"/>
              <w:rPr>
                <w:sz w:val="22"/>
                <w:szCs w:val="22"/>
              </w:rPr>
            </w:pPr>
            <w:r>
              <w:rPr>
                <w:sz w:val="22"/>
                <w:szCs w:val="22"/>
              </w:rPr>
              <w:t xml:space="preserve">Dominant </w:t>
            </w:r>
          </w:p>
          <w:p w14:paraId="1C8291B8" w14:textId="1555DA1C" w:rsidR="00C32436" w:rsidRDefault="00EC5EBB">
            <w:pPr>
              <w:pStyle w:val="Body"/>
            </w:pPr>
            <w:r>
              <w:rPr>
                <w:sz w:val="22"/>
                <w:szCs w:val="22"/>
              </w:rPr>
              <w:t>Life F</w:t>
            </w:r>
            <w:r w:rsidR="00A50D71">
              <w:rPr>
                <w:sz w:val="22"/>
                <w:szCs w:val="22"/>
              </w:rPr>
              <w:t>orms</w:t>
            </w:r>
          </w:p>
        </w:tc>
      </w:tr>
      <w:tr w:rsidR="00EC5EBB" w14:paraId="1496EB5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584CCA" w14:textId="097C4089"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86CAE2" w14:textId="77777777" w:rsidR="00C32436" w:rsidRDefault="0073111C">
            <w:pPr>
              <w:pStyle w:val="Body"/>
              <w:ind w:left="72"/>
            </w:pPr>
            <w:r>
              <w:rPr>
                <w:sz w:val="22"/>
                <w:szCs w:val="22"/>
              </w:rPr>
              <w:t>Wetland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1059" w14:textId="420F74CD" w:rsidR="00C32436" w:rsidRPr="00A83511" w:rsidRDefault="00A83511">
            <w:pPr>
              <w:pStyle w:val="Body"/>
            </w:pPr>
            <w:r>
              <w:t>2.7*10</w:t>
            </w:r>
            <w:r>
              <w:rPr>
                <w:vertAlign w:val="superscript"/>
              </w:rPr>
              <w:t>-3</w:t>
            </w:r>
            <w:r>
              <w:t xml:space="preserve"> - 16.6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14C7" w14:textId="753AA16B" w:rsidR="00C32436" w:rsidRDefault="0073111C">
            <w:pPr>
              <w:pStyle w:val="Body"/>
            </w:pPr>
            <w:r>
              <w:rPr>
                <w:sz w:val="22"/>
                <w:szCs w:val="22"/>
              </w:rPr>
              <w:t>1,771</w:t>
            </w:r>
            <w:r w:rsidR="00EC5EBB">
              <w:rPr>
                <w:sz w:val="22"/>
                <w:szCs w:val="22"/>
              </w:rPr>
              <w:t xml:space="preserve"> / </w:t>
            </w:r>
            <w:r w:rsidR="00F63207">
              <w:rPr>
                <w:sz w:val="22"/>
                <w:szCs w:val="22"/>
              </w:rPr>
              <w:t>1,230</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BE617" w14:textId="3FE0AFE8" w:rsidR="00C32436" w:rsidRDefault="00EC5EBB">
            <w:pPr>
              <w:pStyle w:val="Body"/>
            </w:pPr>
            <w:r>
              <w:rPr>
                <w:sz w:val="22"/>
                <w:szCs w:val="22"/>
              </w:rPr>
              <w:t>Forb/Grass</w:t>
            </w:r>
          </w:p>
        </w:tc>
      </w:tr>
      <w:tr w:rsidR="00EC5EBB" w14:paraId="13F97AE8" w14:textId="77777777" w:rsidTr="00E60B4A">
        <w:trPr>
          <w:trHeight w:val="40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CCFC438"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78118" w14:textId="77777777" w:rsidR="00C32436" w:rsidRDefault="0073111C">
            <w:pPr>
              <w:pStyle w:val="Body"/>
              <w:ind w:left="72"/>
            </w:pPr>
            <w:r>
              <w:rPr>
                <w:sz w:val="22"/>
                <w:szCs w:val="22"/>
              </w:rPr>
              <w:t>Wetland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04D29" w14:textId="44555A6C" w:rsidR="00C32436" w:rsidRDefault="00A83511" w:rsidP="00A83511">
            <w:pPr>
              <w:pStyle w:val="Body"/>
            </w:pPr>
            <w:r>
              <w:t>6.8*10</w:t>
            </w:r>
            <w:r>
              <w:rPr>
                <w:vertAlign w:val="superscript"/>
              </w:rPr>
              <w:t>-3</w:t>
            </w:r>
            <w:r>
              <w:t xml:space="preserve"> - 32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F6C3" w14:textId="20DD5D69" w:rsidR="00C32436" w:rsidRDefault="0073111C" w:rsidP="00F806F4">
            <w:pPr>
              <w:pStyle w:val="Body"/>
            </w:pPr>
            <w:r>
              <w:rPr>
                <w:sz w:val="22"/>
                <w:szCs w:val="22"/>
              </w:rPr>
              <w:t>1,</w:t>
            </w:r>
            <w:r w:rsidR="00F806F4">
              <w:rPr>
                <w:sz w:val="22"/>
                <w:szCs w:val="22"/>
              </w:rPr>
              <w:t>514</w:t>
            </w:r>
            <w:r w:rsidR="00EC5EBB">
              <w:rPr>
                <w:sz w:val="22"/>
                <w:szCs w:val="22"/>
              </w:rPr>
              <w:t xml:space="preserve"> /</w:t>
            </w:r>
            <w:r w:rsidR="00F63207">
              <w:rPr>
                <w:sz w:val="22"/>
                <w:szCs w:val="22"/>
              </w:rPr>
              <w:t xml:space="preserve"> 1,051</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35AA6" w14:textId="60C9D54C" w:rsidR="00C32436" w:rsidRDefault="00EC5EBB">
            <w:pPr>
              <w:pStyle w:val="Body"/>
            </w:pPr>
            <w:r>
              <w:rPr>
                <w:sz w:val="22"/>
                <w:szCs w:val="22"/>
              </w:rPr>
              <w:t>Forb/Grass</w:t>
            </w:r>
          </w:p>
        </w:tc>
      </w:tr>
      <w:tr w:rsidR="00EC5EBB" w14:paraId="1786D020"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ECDFA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4C4362" w14:textId="77777777" w:rsidR="00C32436" w:rsidRDefault="0073111C">
            <w:pPr>
              <w:pStyle w:val="Body"/>
              <w:ind w:left="72"/>
            </w:pPr>
            <w:r>
              <w:rPr>
                <w:sz w:val="22"/>
                <w:szCs w:val="22"/>
              </w:rPr>
              <w:t>Prairie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F844" w14:textId="2318F288" w:rsidR="00C32436" w:rsidRDefault="00730614" w:rsidP="00730614">
            <w:pPr>
              <w:pStyle w:val="Body"/>
            </w:pPr>
            <w:r>
              <w:t>1.0*10</w:t>
            </w:r>
            <w:r>
              <w:rPr>
                <w:vertAlign w:val="superscript"/>
              </w:rPr>
              <w:t>-3</w:t>
            </w:r>
            <w:r>
              <w:t xml:space="preserve"> - 16.9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E37AB" w14:textId="67554701" w:rsidR="00C32436" w:rsidRDefault="0073111C">
            <w:pPr>
              <w:pStyle w:val="Body"/>
            </w:pPr>
            <w:r>
              <w:rPr>
                <w:sz w:val="22"/>
                <w:szCs w:val="22"/>
              </w:rPr>
              <w:t>244</w:t>
            </w:r>
            <w:r w:rsidR="00EC5EBB">
              <w:rPr>
                <w:sz w:val="22"/>
                <w:szCs w:val="22"/>
              </w:rPr>
              <w:t xml:space="preserve"> /</w:t>
            </w:r>
            <w:r w:rsidR="00F63207">
              <w:rPr>
                <w:sz w:val="22"/>
                <w:szCs w:val="22"/>
              </w:rPr>
              <w:t xml:space="preserve"> 169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A9BC6" w14:textId="3BE5539C" w:rsidR="00C32436" w:rsidRDefault="00EC5EBB">
            <w:pPr>
              <w:pStyle w:val="Body"/>
            </w:pPr>
            <w:r>
              <w:rPr>
                <w:sz w:val="22"/>
                <w:szCs w:val="22"/>
              </w:rPr>
              <w:t>Forb/Grass</w:t>
            </w:r>
          </w:p>
        </w:tc>
      </w:tr>
      <w:tr w:rsidR="00EC5EBB" w14:paraId="3C3335D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9EB234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CB46754" w14:textId="77777777" w:rsidR="00C32436" w:rsidRDefault="0073111C">
            <w:pPr>
              <w:pStyle w:val="Body"/>
              <w:ind w:left="72"/>
            </w:pPr>
            <w:r>
              <w:rPr>
                <w:sz w:val="22"/>
                <w:szCs w:val="22"/>
              </w:rPr>
              <w:t>Prairie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CDEE0" w14:textId="3B13DE4A" w:rsidR="00C32436" w:rsidRDefault="00730614" w:rsidP="00730614">
            <w:pPr>
              <w:pStyle w:val="Body"/>
            </w:pPr>
            <w:r>
              <w:t>8.8*10</w:t>
            </w:r>
            <w:r>
              <w:rPr>
                <w:vertAlign w:val="superscript"/>
              </w:rPr>
              <w:t>-3</w:t>
            </w:r>
            <w:r>
              <w:t xml:space="preserve"> - 69.4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1DA6" w14:textId="4D91E49A" w:rsidR="00C32436" w:rsidRDefault="0073111C">
            <w:pPr>
              <w:pStyle w:val="Body"/>
            </w:pPr>
            <w:r>
              <w:rPr>
                <w:sz w:val="22"/>
                <w:szCs w:val="22"/>
              </w:rPr>
              <w:t>320</w:t>
            </w:r>
            <w:r w:rsidR="00EC5EBB">
              <w:rPr>
                <w:sz w:val="22"/>
                <w:szCs w:val="22"/>
              </w:rPr>
              <w:t xml:space="preserve"> /</w:t>
            </w:r>
            <w:r w:rsidR="00F63207">
              <w:rPr>
                <w:sz w:val="22"/>
                <w:szCs w:val="22"/>
              </w:rPr>
              <w:t xml:space="preserve"> 222</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6742" w14:textId="0BE16BB2" w:rsidR="00C32436" w:rsidRDefault="00EC5EBB">
            <w:pPr>
              <w:pStyle w:val="Body"/>
            </w:pPr>
            <w:r>
              <w:rPr>
                <w:sz w:val="22"/>
                <w:szCs w:val="22"/>
              </w:rPr>
              <w:t>Forb/Grass</w:t>
            </w:r>
          </w:p>
        </w:tc>
      </w:tr>
      <w:tr w:rsidR="00EC5EBB" w14:paraId="06AB6F89"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3A5D519"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BECDEF2" w14:textId="77777777" w:rsidR="00C32436" w:rsidRDefault="0073111C">
            <w:pPr>
              <w:pStyle w:val="Body"/>
              <w:ind w:left="72"/>
            </w:pPr>
            <w:r>
              <w:rPr>
                <w:sz w:val="22"/>
                <w:szCs w:val="22"/>
              </w:rPr>
              <w:t>Prairie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D2F7" w14:textId="4B145098" w:rsidR="00C32436" w:rsidRDefault="00730614" w:rsidP="00730614">
            <w:pPr>
              <w:pStyle w:val="Body"/>
            </w:pPr>
            <w:r>
              <w:t>1.0*10</w:t>
            </w:r>
            <w:r>
              <w:rPr>
                <w:vertAlign w:val="superscript"/>
              </w:rPr>
              <w:t>-3</w:t>
            </w:r>
            <w:r>
              <w:t xml:space="preserve"> - 82.9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71A87" w14:textId="70FBCFB8" w:rsidR="00C32436" w:rsidRDefault="0073111C">
            <w:pPr>
              <w:pStyle w:val="Body"/>
            </w:pPr>
            <w:r>
              <w:rPr>
                <w:sz w:val="22"/>
                <w:szCs w:val="22"/>
              </w:rPr>
              <w:t>315</w:t>
            </w:r>
            <w:r w:rsidR="00EC5EBB">
              <w:rPr>
                <w:sz w:val="22"/>
                <w:szCs w:val="22"/>
              </w:rPr>
              <w:t xml:space="preserve"> /</w:t>
            </w:r>
            <w:r w:rsidR="00F63207">
              <w:rPr>
                <w:sz w:val="22"/>
                <w:szCs w:val="22"/>
              </w:rPr>
              <w:t xml:space="preserve"> 219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1B437" w14:textId="3C8E2D39" w:rsidR="00C32436" w:rsidRDefault="00EC5EBB">
            <w:pPr>
              <w:pStyle w:val="Body"/>
            </w:pPr>
            <w:r>
              <w:rPr>
                <w:sz w:val="22"/>
                <w:szCs w:val="22"/>
              </w:rPr>
              <w:t>Forb/Grass</w:t>
            </w:r>
          </w:p>
        </w:tc>
      </w:tr>
      <w:tr w:rsidR="00EC5EBB" w14:paraId="6D9F94BD"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CD339D"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741EB2B" w14:textId="1B374BCA" w:rsidR="00C32436" w:rsidRDefault="0073111C" w:rsidP="00EC5EBB">
            <w:pPr>
              <w:pStyle w:val="Body"/>
              <w:ind w:left="72"/>
            </w:pPr>
            <w:r>
              <w:rPr>
                <w:sz w:val="22"/>
                <w:szCs w:val="22"/>
              </w:rPr>
              <w:t xml:space="preserve">Forest </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C85B" w14:textId="6510D1DC" w:rsidR="00C32436" w:rsidRPr="00F458DB" w:rsidRDefault="00F458DB" w:rsidP="00F458DB">
            <w:pPr>
              <w:pStyle w:val="Body"/>
              <w:rPr>
                <w:vertAlign w:val="superscript"/>
              </w:rPr>
            </w:pPr>
            <w:r>
              <w:t>83.7 - 1.29*10</w:t>
            </w:r>
            <w:r>
              <w:rPr>
                <w:vertAlign w:val="superscript"/>
              </w:rPr>
              <w:t>7</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2F16" w14:textId="0AB1085B" w:rsidR="00C32436" w:rsidRDefault="0073111C">
            <w:pPr>
              <w:pStyle w:val="Body"/>
            </w:pPr>
            <w:r>
              <w:rPr>
                <w:sz w:val="22"/>
                <w:szCs w:val="22"/>
              </w:rPr>
              <w:t>1,739</w:t>
            </w:r>
            <w:r w:rsidR="00EC5EBB">
              <w:rPr>
                <w:sz w:val="22"/>
                <w:szCs w:val="22"/>
              </w:rPr>
              <w:t xml:space="preserve"> /</w:t>
            </w:r>
            <w:r w:rsidR="00F63207">
              <w:rPr>
                <w:sz w:val="22"/>
                <w:szCs w:val="22"/>
              </w:rPr>
              <w:t xml:space="preserve"> 0.087</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4BA3" w14:textId="3569A917" w:rsidR="00C32436" w:rsidRDefault="00EC5EBB">
            <w:pPr>
              <w:pStyle w:val="Body"/>
            </w:pPr>
            <w:r>
              <w:rPr>
                <w:sz w:val="22"/>
                <w:szCs w:val="22"/>
              </w:rPr>
              <w:t>Tree</w:t>
            </w:r>
          </w:p>
        </w:tc>
      </w:tr>
      <w:tr w:rsidR="00EC5EBB" w14:paraId="13BD4CA1"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E19FF6A"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6683695" w14:textId="2EE6015C" w:rsidR="00C32436" w:rsidRDefault="00EC5EBB" w:rsidP="00690330">
            <w:pPr>
              <w:pStyle w:val="Body"/>
              <w:ind w:left="72"/>
            </w:pPr>
            <w:r>
              <w:rPr>
                <w:sz w:val="22"/>
                <w:szCs w:val="22"/>
              </w:rPr>
              <w:t>Grass-Sage</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2F15B" w14:textId="7082F1BC" w:rsidR="00C32436" w:rsidRDefault="00F806F4" w:rsidP="00F806F4">
            <w:pPr>
              <w:pStyle w:val="Body"/>
            </w:pPr>
            <w:r>
              <w:t>6.0*10</w:t>
            </w:r>
            <w:r>
              <w:rPr>
                <w:vertAlign w:val="superscript"/>
              </w:rPr>
              <w:t>-3</w:t>
            </w:r>
            <w:r>
              <w:t xml:space="preserve"> - 46.8</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21A3B" w14:textId="449A523E" w:rsidR="00C32436" w:rsidRDefault="0073111C">
            <w:pPr>
              <w:pStyle w:val="Body"/>
            </w:pPr>
            <w:r>
              <w:rPr>
                <w:sz w:val="22"/>
                <w:szCs w:val="22"/>
              </w:rPr>
              <w:t>226</w:t>
            </w:r>
            <w:r w:rsidR="00EC5EBB">
              <w:rPr>
                <w:sz w:val="22"/>
                <w:szCs w:val="22"/>
              </w:rPr>
              <w:t xml:space="preserve"> /</w:t>
            </w:r>
            <w:r w:rsidR="00F63207">
              <w:rPr>
                <w:sz w:val="22"/>
                <w:szCs w:val="22"/>
              </w:rPr>
              <w:t xml:space="preserve"> 134</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3209" w14:textId="6527CFA5" w:rsidR="00C32436" w:rsidRDefault="00EC5EBB">
            <w:pPr>
              <w:pStyle w:val="Body"/>
            </w:pPr>
            <w:r>
              <w:rPr>
                <w:sz w:val="22"/>
                <w:szCs w:val="22"/>
              </w:rPr>
              <w:t>Grass/Shrub</w:t>
            </w:r>
          </w:p>
        </w:tc>
      </w:tr>
      <w:tr w:rsidR="00EC5EBB" w14:paraId="5EAEBDFF"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031694B"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2A153E9" w14:textId="77777777" w:rsidR="00C32436" w:rsidRDefault="0073111C">
            <w:pPr>
              <w:pStyle w:val="Body"/>
              <w:ind w:left="72"/>
            </w:pPr>
            <w:r>
              <w:rPr>
                <w:sz w:val="22"/>
                <w:szCs w:val="22"/>
              </w:rPr>
              <w:t>Wet Meadow</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D0089" w14:textId="0D4EF91B" w:rsidR="00C32436" w:rsidRDefault="00F806F4" w:rsidP="00F806F4">
            <w:pPr>
              <w:pStyle w:val="Body"/>
            </w:pPr>
            <w:r>
              <w:t>1.0*10</w:t>
            </w:r>
            <w:r>
              <w:rPr>
                <w:vertAlign w:val="superscript"/>
              </w:rPr>
              <w:t>-3</w:t>
            </w:r>
            <w:r>
              <w:t xml:space="preserve"> - 7.74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A8162" w14:textId="6F51DD6D" w:rsidR="00C32436" w:rsidRDefault="0073111C">
            <w:pPr>
              <w:pStyle w:val="Body"/>
            </w:pPr>
            <w:r>
              <w:rPr>
                <w:sz w:val="22"/>
                <w:szCs w:val="22"/>
              </w:rPr>
              <w:t>618</w:t>
            </w:r>
            <w:r w:rsidR="00EC5EBB">
              <w:rPr>
                <w:sz w:val="22"/>
                <w:szCs w:val="22"/>
              </w:rPr>
              <w:t xml:space="preserve"> /</w:t>
            </w:r>
            <w:r w:rsidR="00F63207">
              <w:rPr>
                <w:sz w:val="22"/>
                <w:szCs w:val="22"/>
              </w:rPr>
              <w:t xml:space="preserve"> 366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23882" w14:textId="238DE628" w:rsidR="00C32436" w:rsidRDefault="00EC5EBB">
            <w:pPr>
              <w:pStyle w:val="Body"/>
            </w:pPr>
            <w:r>
              <w:rPr>
                <w:sz w:val="22"/>
                <w:szCs w:val="22"/>
              </w:rPr>
              <w:t>Grass</w:t>
            </w:r>
          </w:p>
        </w:tc>
      </w:tr>
      <w:tr w:rsidR="00EC5EBB" w14:paraId="6739275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0BBD99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1987782" w14:textId="7D077DDE" w:rsidR="00C32436" w:rsidRDefault="0062461A">
            <w:pPr>
              <w:pStyle w:val="Body"/>
              <w:ind w:left="72"/>
            </w:pPr>
            <w:r>
              <w:rPr>
                <w:sz w:val="22"/>
                <w:szCs w:val="22"/>
              </w:rPr>
              <w:t>Suba</w:t>
            </w:r>
            <w:r w:rsidR="004F1822">
              <w:rPr>
                <w:sz w:val="22"/>
                <w:szCs w:val="22"/>
              </w:rPr>
              <w:t>lpine</w:t>
            </w:r>
            <w:r w:rsidR="0073111C">
              <w:rPr>
                <w:sz w:val="22"/>
                <w:szCs w:val="22"/>
              </w:rPr>
              <w:t xml:space="preserv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DB2D6" w14:textId="683562CB" w:rsidR="00C32436" w:rsidRDefault="00F806F4" w:rsidP="00F806F4">
            <w:pPr>
              <w:pStyle w:val="Body"/>
            </w:pPr>
            <w:r>
              <w:t>2.0*10</w:t>
            </w:r>
            <w:r>
              <w:rPr>
                <w:vertAlign w:val="superscript"/>
              </w:rPr>
              <w:t>-3</w:t>
            </w:r>
            <w:r>
              <w:t xml:space="preserve"> - 93.2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271EA" w14:textId="32A894B0" w:rsidR="00C32436" w:rsidRDefault="00F806F4">
            <w:pPr>
              <w:pStyle w:val="Body"/>
            </w:pPr>
            <w:r>
              <w:rPr>
                <w:sz w:val="22"/>
                <w:szCs w:val="22"/>
              </w:rPr>
              <w:t>938</w:t>
            </w:r>
            <w:r w:rsidR="00EC5EBB">
              <w:rPr>
                <w:sz w:val="22"/>
                <w:szCs w:val="22"/>
              </w:rPr>
              <w:t xml:space="preserve"> /</w:t>
            </w:r>
            <w:r w:rsidR="00F63207">
              <w:rPr>
                <w:sz w:val="22"/>
                <w:szCs w:val="22"/>
              </w:rPr>
              <w:t xml:space="preserve"> 555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9045D" w14:textId="1C140AAB" w:rsidR="00C32436" w:rsidRDefault="00EC5EBB">
            <w:pPr>
              <w:pStyle w:val="Body"/>
            </w:pPr>
            <w:r>
              <w:rPr>
                <w:sz w:val="22"/>
                <w:szCs w:val="22"/>
              </w:rPr>
              <w:t>Forb/Shrub</w:t>
            </w:r>
          </w:p>
        </w:tc>
      </w:tr>
      <w:tr w:rsidR="00EC5EBB" w14:paraId="7B891EF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A83B36"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EF435F9" w14:textId="4F0A6CD6" w:rsidR="00C32436" w:rsidRDefault="0062461A">
            <w:pPr>
              <w:pStyle w:val="Body"/>
              <w:ind w:left="72"/>
            </w:pPr>
            <w:r>
              <w:rPr>
                <w:sz w:val="22"/>
                <w:szCs w:val="22"/>
              </w:rPr>
              <w:t>Suba</w:t>
            </w:r>
            <w:r w:rsidR="004F1822">
              <w:rPr>
                <w:sz w:val="22"/>
                <w:szCs w:val="22"/>
              </w:rPr>
              <w:t>lpine</w:t>
            </w:r>
            <w:r w:rsidR="0073111C">
              <w:rPr>
                <w:sz w:val="22"/>
                <w:szCs w:val="22"/>
              </w:rPr>
              <w:t xml:space="preserv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6382" w14:textId="11EA78F9" w:rsidR="00C32436" w:rsidRDefault="00F806F4" w:rsidP="00F806F4">
            <w:pPr>
              <w:pStyle w:val="Body"/>
            </w:pPr>
            <w:r>
              <w:t>1.0*10</w:t>
            </w:r>
            <w:r>
              <w:rPr>
                <w:vertAlign w:val="superscript"/>
              </w:rPr>
              <w:t>-3</w:t>
            </w:r>
            <w:r>
              <w:t xml:space="preserve"> - 27.6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121BB" w14:textId="085CE19B" w:rsidR="00C32436" w:rsidRDefault="0073111C">
            <w:pPr>
              <w:pStyle w:val="Body"/>
            </w:pPr>
            <w:r>
              <w:rPr>
                <w:sz w:val="22"/>
                <w:szCs w:val="22"/>
              </w:rPr>
              <w:t>281</w:t>
            </w:r>
            <w:r w:rsidR="00EC5EBB">
              <w:rPr>
                <w:sz w:val="22"/>
                <w:szCs w:val="22"/>
              </w:rPr>
              <w:t xml:space="preserve"> /</w:t>
            </w:r>
            <w:r w:rsidR="00F63207">
              <w:rPr>
                <w:sz w:val="22"/>
                <w:szCs w:val="22"/>
              </w:rPr>
              <w:t xml:space="preserve"> 166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7E2EA" w14:textId="47E9F43F" w:rsidR="00C32436" w:rsidRDefault="00EC5EBB">
            <w:pPr>
              <w:pStyle w:val="Body"/>
            </w:pPr>
            <w:r>
              <w:rPr>
                <w:sz w:val="22"/>
                <w:szCs w:val="22"/>
              </w:rPr>
              <w:t>Forb</w:t>
            </w:r>
          </w:p>
        </w:tc>
      </w:tr>
      <w:tr w:rsidR="00EC5EBB" w14:paraId="52CF7EA8"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676FD5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DE2EC2C" w14:textId="78AC0308" w:rsidR="00C32436" w:rsidRDefault="0062461A">
            <w:pPr>
              <w:pStyle w:val="Body"/>
              <w:ind w:left="72"/>
            </w:pPr>
            <w:r>
              <w:rPr>
                <w:sz w:val="22"/>
                <w:szCs w:val="22"/>
              </w:rPr>
              <w:t>Suba</w:t>
            </w:r>
            <w:r w:rsidR="004F1822">
              <w:rPr>
                <w:sz w:val="22"/>
                <w:szCs w:val="22"/>
              </w:rPr>
              <w:t>lpine</w:t>
            </w:r>
            <w:r w:rsidR="0073111C">
              <w:rPr>
                <w:sz w:val="22"/>
                <w:szCs w:val="22"/>
              </w:rPr>
              <w:t xml:space="preserv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1279" w14:textId="7C739098" w:rsidR="00C32436" w:rsidRDefault="00F806F4" w:rsidP="00F806F4">
            <w:pPr>
              <w:pStyle w:val="Body"/>
            </w:pPr>
            <w:r>
              <w:t>1.0*10</w:t>
            </w:r>
            <w:r>
              <w:rPr>
                <w:vertAlign w:val="superscript"/>
              </w:rPr>
              <w:t>-3</w:t>
            </w:r>
            <w:r>
              <w:t xml:space="preserve"> - 112.5</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09886" w14:textId="5141323B" w:rsidR="00C32436" w:rsidRDefault="00F806F4">
            <w:pPr>
              <w:pStyle w:val="Body"/>
            </w:pPr>
            <w:r>
              <w:rPr>
                <w:sz w:val="22"/>
                <w:szCs w:val="22"/>
              </w:rPr>
              <w:t>160</w:t>
            </w:r>
            <w:r w:rsidR="00EC5EBB">
              <w:rPr>
                <w:sz w:val="22"/>
                <w:szCs w:val="22"/>
              </w:rPr>
              <w:t xml:space="preserve"> /</w:t>
            </w:r>
            <w:r w:rsidR="00F63207">
              <w:rPr>
                <w:sz w:val="22"/>
                <w:szCs w:val="22"/>
              </w:rPr>
              <w:t xml:space="preserve"> 95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5486" w14:textId="787F079C" w:rsidR="00C32436" w:rsidRDefault="00EC5EBB">
            <w:pPr>
              <w:pStyle w:val="Body"/>
            </w:pPr>
            <w:r>
              <w:rPr>
                <w:sz w:val="22"/>
                <w:szCs w:val="22"/>
              </w:rPr>
              <w:t>Forb</w:t>
            </w:r>
            <w:r w:rsidR="00F806F4">
              <w:rPr>
                <w:sz w:val="22"/>
                <w:szCs w:val="22"/>
              </w:rPr>
              <w:t>/Shrub</w:t>
            </w:r>
          </w:p>
        </w:tc>
      </w:tr>
      <w:tr w:rsidR="00EC5EBB" w14:paraId="75C2233C"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3AD51C" w14:textId="7EC48E93" w:rsidR="00C32436" w:rsidRDefault="00EC5EBB">
            <w:pPr>
              <w:pStyle w:val="Body"/>
              <w:ind w:left="72"/>
            </w:pPr>
            <w:r>
              <w:rPr>
                <w:sz w:val="22"/>
                <w:szCs w:val="22"/>
              </w:rPr>
              <w:t>TH</w:t>
            </w:r>
            <w:r w:rsidR="00084357">
              <w:rPr>
                <w:sz w:val="22"/>
                <w:szCs w:val="22"/>
              </w:rPr>
              <w:t>DL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50E8A75" w14:textId="77777777" w:rsidR="00C32436" w:rsidRDefault="0073111C">
            <w:pPr>
              <w:pStyle w:val="Body"/>
              <w:ind w:left="72"/>
            </w:pPr>
            <w:r>
              <w:rPr>
                <w:sz w:val="22"/>
                <w:szCs w:val="22"/>
              </w:rPr>
              <w:t>Desert</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8AF0" w14:textId="777365D0" w:rsidR="00C32436" w:rsidRPr="00F806F4" w:rsidRDefault="00F806F4">
            <w:pPr>
              <w:pStyle w:val="Body"/>
              <w:rPr>
                <w:vertAlign w:val="superscript"/>
              </w:rPr>
            </w:pPr>
            <w:r>
              <w:t>3.78 - 1.60*10</w:t>
            </w:r>
            <w:r>
              <w:rPr>
                <w:vertAlign w:val="superscript"/>
              </w:rPr>
              <w:t>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8EA42" w14:textId="66811C4A" w:rsidR="00C32436" w:rsidRDefault="0073111C" w:rsidP="00F806F4">
            <w:pPr>
              <w:pStyle w:val="Body"/>
            </w:pPr>
            <w:r>
              <w:rPr>
                <w:sz w:val="22"/>
                <w:szCs w:val="22"/>
              </w:rPr>
              <w:t>2,6</w:t>
            </w:r>
            <w:r w:rsidR="00F806F4">
              <w:rPr>
                <w:sz w:val="22"/>
                <w:szCs w:val="22"/>
              </w:rPr>
              <w:t>29</w:t>
            </w:r>
            <w:r w:rsidR="00EC5EBB">
              <w:rPr>
                <w:sz w:val="22"/>
                <w:szCs w:val="22"/>
              </w:rPr>
              <w:t xml:space="preserve"> /</w:t>
            </w:r>
            <w:r w:rsidR="00F63207">
              <w:rPr>
                <w:sz w:val="22"/>
                <w:szCs w:val="22"/>
              </w:rPr>
              <w:t xml:space="preserve"> 0.26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D458" w14:textId="587A1AD6" w:rsidR="00C32436" w:rsidRDefault="00EC5EBB">
            <w:pPr>
              <w:pStyle w:val="Body"/>
            </w:pPr>
            <w:r>
              <w:rPr>
                <w:sz w:val="22"/>
                <w:szCs w:val="22"/>
              </w:rPr>
              <w:t>Succulent/Shrub</w:t>
            </w:r>
          </w:p>
        </w:tc>
      </w:tr>
    </w:tbl>
    <w:p w14:paraId="33CEAAE3" w14:textId="77777777" w:rsidR="00C32436" w:rsidRDefault="00C32436">
      <w:pPr>
        <w:pStyle w:val="Body"/>
        <w:widowControl w:val="0"/>
        <w:ind w:left="2" w:hanging="2"/>
        <w:jc w:val="center"/>
      </w:pPr>
    </w:p>
    <w:p w14:paraId="1A7E8422" w14:textId="77777777" w:rsidR="00C32436" w:rsidRDefault="00C32436">
      <w:pPr>
        <w:pStyle w:val="Body"/>
      </w:pPr>
    </w:p>
    <w:p w14:paraId="029FD2A3" w14:textId="77777777" w:rsidR="00C32436" w:rsidRDefault="00C32436">
      <w:pPr>
        <w:pStyle w:val="Body"/>
      </w:pPr>
    </w:p>
    <w:p w14:paraId="4860793A" w14:textId="27203174" w:rsidR="00C32436" w:rsidRDefault="0073111C">
      <w:pPr>
        <w:pStyle w:val="Body"/>
      </w:pPr>
      <w:r w:rsidRPr="003D2F63">
        <w:rPr>
          <w:b/>
        </w:rPr>
        <w:t>Table 2.</w:t>
      </w:r>
      <w:r>
        <w:t xml:space="preserve"> Comparison of model fits for the </w:t>
      </w:r>
      <w:r w:rsidR="003D2F63">
        <w:t xml:space="preserve">alternative Weibull and </w:t>
      </w:r>
      <w:r>
        <w:t>Pareto</w:t>
      </w:r>
      <w:r w:rsidR="003D2F63">
        <w:t xml:space="preserve"> distribution</w:t>
      </w:r>
      <w:r>
        <w:t xml:space="preserve">s based on </w:t>
      </w:r>
      <w:proofErr w:type="spellStart"/>
      <w:r>
        <w:t>Akaike’s</w:t>
      </w:r>
      <w:proofErr w:type="spellEnd"/>
      <w:r>
        <w:t xml:space="preserve"> Information Criteria (</w:t>
      </w:r>
      <w:r w:rsidR="003D2F63">
        <w:rPr>
          <w:sz w:val="22"/>
          <w:szCs w:val="22"/>
        </w:rPr>
        <w:sym w:font="Symbol" w:char="F044"/>
      </w:r>
      <w:r>
        <w:t xml:space="preserve">AIC) values for the </w:t>
      </w:r>
      <w:r w:rsidR="003D2F63">
        <w:t>Weibull vs. the Pareto models</w:t>
      </w:r>
      <w:r>
        <w:t>. Shape, scale, and exponent parameters for Weibull and Pareto are also provided.</w:t>
      </w:r>
    </w:p>
    <w:p w14:paraId="381780E3" w14:textId="77777777" w:rsidR="00C32436" w:rsidRDefault="00C32436">
      <w:pPr>
        <w:pStyle w:val="Body"/>
      </w:pPr>
    </w:p>
    <w:tbl>
      <w:tblPr>
        <w:tblW w:w="73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6"/>
        <w:gridCol w:w="1638"/>
        <w:gridCol w:w="1332"/>
        <w:gridCol w:w="1170"/>
        <w:gridCol w:w="1170"/>
        <w:gridCol w:w="1170"/>
      </w:tblGrid>
      <w:tr w:rsidR="004F1822" w14:paraId="768931DB" w14:textId="77777777" w:rsidTr="004F1822">
        <w:trPr>
          <w:trHeight w:val="481"/>
          <w:jc w:val="center"/>
        </w:trPr>
        <w:tc>
          <w:tcPr>
            <w:tcW w:w="916" w:type="dxa"/>
            <w:tcBorders>
              <w:top w:val="single" w:sz="4" w:space="0" w:color="000000"/>
              <w:left w:val="single" w:sz="4" w:space="0" w:color="000000"/>
              <w:bottom w:val="single" w:sz="4" w:space="0" w:color="000000"/>
              <w:right w:val="single" w:sz="4" w:space="0" w:color="000000"/>
            </w:tcBorders>
          </w:tcPr>
          <w:p w14:paraId="1B44D430" w14:textId="5F9BAABF" w:rsidR="004F1822" w:rsidRDefault="004F1822">
            <w:pPr>
              <w:pStyle w:val="Body"/>
              <w:ind w:left="72"/>
              <w:rPr>
                <w:sz w:val="22"/>
                <w:szCs w:val="22"/>
              </w:rPr>
            </w:pPr>
            <w:r>
              <w:rPr>
                <w:sz w:val="22"/>
                <w:szCs w:val="22"/>
              </w:rPr>
              <w:t>Locale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8B854A3" w14:textId="54342700" w:rsidR="004F1822" w:rsidRDefault="004F1822">
            <w:pPr>
              <w:pStyle w:val="Body"/>
              <w:ind w:left="72"/>
            </w:pPr>
            <w:r>
              <w:rPr>
                <w:sz w:val="22"/>
                <w:szCs w:val="22"/>
              </w:rPr>
              <w:t>Site</w:t>
            </w:r>
          </w:p>
        </w:tc>
        <w:tc>
          <w:tcPr>
            <w:tcW w:w="1332" w:type="dxa"/>
            <w:tcBorders>
              <w:top w:val="single" w:sz="4" w:space="0" w:color="000000"/>
              <w:left w:val="single" w:sz="4" w:space="0" w:color="000000"/>
              <w:bottom w:val="single" w:sz="4" w:space="0" w:color="000000"/>
              <w:right w:val="single" w:sz="4" w:space="0" w:color="000000"/>
            </w:tcBorders>
          </w:tcPr>
          <w:p w14:paraId="46E73595" w14:textId="76E866E1" w:rsidR="004F1822" w:rsidRDefault="004F1822">
            <w:pPr>
              <w:pStyle w:val="Body"/>
              <w:rPr>
                <w:sz w:val="22"/>
                <w:szCs w:val="22"/>
              </w:rPr>
            </w:pPr>
            <w:r>
              <w:rPr>
                <w:sz w:val="22"/>
                <w:szCs w:val="22"/>
              </w:rPr>
              <w:sym w:font="Symbol" w:char="F044"/>
            </w:r>
            <w:r>
              <w:rPr>
                <w:sz w:val="22"/>
                <w:szCs w:val="22"/>
              </w:rPr>
              <w:t>AIC (W-P)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812D" w14:textId="75CCA51D" w:rsidR="004F1822" w:rsidRDefault="004F1822">
            <w:pPr>
              <w:pStyle w:val="Body"/>
              <w:rPr>
                <w:sz w:val="22"/>
                <w:szCs w:val="22"/>
              </w:rPr>
            </w:pPr>
            <w:r>
              <w:rPr>
                <w:sz w:val="22"/>
                <w:szCs w:val="22"/>
              </w:rPr>
              <w:t>Shape</w:t>
            </w:r>
          </w:p>
          <w:p w14:paraId="2EF085AC" w14:textId="77777777" w:rsidR="004F1822" w:rsidRDefault="004F1822">
            <w:pPr>
              <w:pStyle w:val="Body"/>
            </w:pPr>
            <w:r>
              <w:rPr>
                <w:sz w:val="22"/>
                <w:szCs w:val="22"/>
              </w:rPr>
              <w:t>(Weibull)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E7A8" w14:textId="77777777" w:rsidR="004F1822" w:rsidRDefault="004F1822">
            <w:pPr>
              <w:pStyle w:val="Body"/>
              <w:rPr>
                <w:sz w:val="22"/>
                <w:szCs w:val="22"/>
              </w:rPr>
            </w:pPr>
            <w:r>
              <w:rPr>
                <w:sz w:val="22"/>
                <w:szCs w:val="22"/>
              </w:rPr>
              <w:t>Scale</w:t>
            </w:r>
          </w:p>
          <w:p w14:paraId="5A77FF82" w14:textId="77777777" w:rsidR="004F1822" w:rsidRDefault="004F1822">
            <w:pPr>
              <w:pStyle w:val="Body"/>
            </w:pPr>
            <w:r>
              <w:rPr>
                <w:sz w:val="22"/>
                <w:szCs w:val="22"/>
              </w:rPr>
              <w:t xml:space="preserve">(Weibull)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F225" w14:textId="77777777" w:rsidR="004F1822" w:rsidRDefault="004F1822">
            <w:pPr>
              <w:pStyle w:val="Body"/>
              <w:rPr>
                <w:sz w:val="22"/>
                <w:szCs w:val="22"/>
              </w:rPr>
            </w:pPr>
            <w:r>
              <w:rPr>
                <w:sz w:val="22"/>
                <w:szCs w:val="22"/>
              </w:rPr>
              <w:t>Exponent</w:t>
            </w:r>
          </w:p>
          <w:p w14:paraId="22036011" w14:textId="77777777" w:rsidR="004F1822" w:rsidRDefault="004F1822">
            <w:pPr>
              <w:pStyle w:val="Body"/>
            </w:pPr>
            <w:r>
              <w:rPr>
                <w:sz w:val="22"/>
                <w:szCs w:val="22"/>
              </w:rPr>
              <w:t>(Pareto)</w:t>
            </w:r>
          </w:p>
        </w:tc>
      </w:tr>
      <w:tr w:rsidR="004F1822" w14:paraId="0251555A"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F2898A1" w14:textId="71F24DF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84A9BEB" w14:textId="0DEB1C5C" w:rsidR="004F1822" w:rsidRDefault="004F1822">
            <w:pPr>
              <w:pStyle w:val="Body"/>
              <w:ind w:left="72"/>
            </w:pPr>
            <w:r>
              <w:rPr>
                <w:sz w:val="22"/>
                <w:szCs w:val="22"/>
              </w:rPr>
              <w:t>Wetland 1</w:t>
            </w:r>
          </w:p>
        </w:tc>
        <w:tc>
          <w:tcPr>
            <w:tcW w:w="1332" w:type="dxa"/>
            <w:tcBorders>
              <w:top w:val="single" w:sz="4" w:space="0" w:color="000000"/>
              <w:left w:val="single" w:sz="4" w:space="0" w:color="000000"/>
              <w:bottom w:val="single" w:sz="4" w:space="0" w:color="000000"/>
              <w:right w:val="single" w:sz="4" w:space="0" w:color="000000"/>
            </w:tcBorders>
          </w:tcPr>
          <w:p w14:paraId="17E9766D" w14:textId="7105E3BB" w:rsidR="004F1822" w:rsidRDefault="004F1822">
            <w:pPr>
              <w:pStyle w:val="Body"/>
              <w:rPr>
                <w:sz w:val="22"/>
                <w:szCs w:val="22"/>
              </w:rPr>
            </w:pPr>
            <w:r>
              <w:rPr>
                <w:sz w:val="22"/>
                <w:szCs w:val="22"/>
              </w:rPr>
              <w:t>-2,191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CB913" w14:textId="2EFF6C46" w:rsidR="004F1822" w:rsidRDefault="004F1822">
            <w:pPr>
              <w:pStyle w:val="Body"/>
            </w:pPr>
            <w:r>
              <w:rPr>
                <w:sz w:val="22"/>
                <w:szCs w:val="22"/>
              </w:rPr>
              <w:t>0.64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50C76" w14:textId="77777777" w:rsidR="004F1822" w:rsidRDefault="004F1822">
            <w:pPr>
              <w:pStyle w:val="Body"/>
            </w:pPr>
            <w:r>
              <w:rPr>
                <w:sz w:val="22"/>
                <w:szCs w:val="22"/>
              </w:rPr>
              <w:t>0.26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BB666" w14:textId="77777777" w:rsidR="004F1822" w:rsidRDefault="004F1822">
            <w:pPr>
              <w:pStyle w:val="Body"/>
            </w:pPr>
            <w:r>
              <w:rPr>
                <w:sz w:val="22"/>
                <w:szCs w:val="22"/>
              </w:rPr>
              <w:t>1.25</w:t>
            </w:r>
          </w:p>
        </w:tc>
      </w:tr>
      <w:tr w:rsidR="004F1822" w14:paraId="79209F07"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E1FD6A3" w14:textId="77A59168"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5441F90" w14:textId="46619DE7" w:rsidR="004F1822" w:rsidRDefault="004F1822">
            <w:pPr>
              <w:pStyle w:val="Body"/>
              <w:ind w:left="72"/>
            </w:pPr>
            <w:r>
              <w:rPr>
                <w:sz w:val="22"/>
                <w:szCs w:val="22"/>
              </w:rPr>
              <w:t>Wetland 2</w:t>
            </w:r>
          </w:p>
        </w:tc>
        <w:tc>
          <w:tcPr>
            <w:tcW w:w="1332" w:type="dxa"/>
            <w:tcBorders>
              <w:top w:val="single" w:sz="4" w:space="0" w:color="000000"/>
              <w:left w:val="single" w:sz="4" w:space="0" w:color="000000"/>
              <w:bottom w:val="single" w:sz="4" w:space="0" w:color="000000"/>
              <w:right w:val="single" w:sz="4" w:space="0" w:color="000000"/>
            </w:tcBorders>
          </w:tcPr>
          <w:p w14:paraId="6F88DF24" w14:textId="04D47904" w:rsidR="004F1822" w:rsidRDefault="004F1822">
            <w:pPr>
              <w:pStyle w:val="Body"/>
              <w:rPr>
                <w:sz w:val="22"/>
                <w:szCs w:val="22"/>
              </w:rPr>
            </w:pPr>
            <w:r>
              <w:rPr>
                <w:sz w:val="22"/>
                <w:szCs w:val="22"/>
              </w:rPr>
              <w:t>-1,817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19A6" w14:textId="7270E187" w:rsidR="004F1822" w:rsidRDefault="004F1822">
            <w:pPr>
              <w:pStyle w:val="Body"/>
            </w:pPr>
            <w:r>
              <w:rPr>
                <w:sz w:val="22"/>
                <w:szCs w:val="22"/>
              </w:rPr>
              <w:t>0.76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CA47" w14:textId="4934AB7C" w:rsidR="004F1822" w:rsidRDefault="004F1822" w:rsidP="004F1822">
            <w:pPr>
              <w:pStyle w:val="Body"/>
            </w:pPr>
            <w:r>
              <w:rPr>
                <w:sz w:val="22"/>
                <w:szCs w:val="22"/>
              </w:rPr>
              <w:t>0.34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1B885" w14:textId="77777777" w:rsidR="004F1822" w:rsidRDefault="004F1822">
            <w:pPr>
              <w:pStyle w:val="Body"/>
            </w:pPr>
            <w:r>
              <w:rPr>
                <w:sz w:val="22"/>
                <w:szCs w:val="22"/>
              </w:rPr>
              <w:t>1.29</w:t>
            </w:r>
          </w:p>
        </w:tc>
      </w:tr>
      <w:tr w:rsidR="004F1822" w14:paraId="7EA2C9AC"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87E9295" w14:textId="25C8481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381D224" w14:textId="7AD68438" w:rsidR="004F1822" w:rsidRDefault="004F1822">
            <w:pPr>
              <w:pStyle w:val="Body"/>
              <w:ind w:left="72"/>
            </w:pPr>
            <w:r>
              <w:rPr>
                <w:sz w:val="22"/>
                <w:szCs w:val="22"/>
              </w:rPr>
              <w:t>Prairie 1</w:t>
            </w:r>
          </w:p>
        </w:tc>
        <w:tc>
          <w:tcPr>
            <w:tcW w:w="1332" w:type="dxa"/>
            <w:tcBorders>
              <w:top w:val="single" w:sz="4" w:space="0" w:color="000000"/>
              <w:left w:val="single" w:sz="4" w:space="0" w:color="000000"/>
              <w:bottom w:val="single" w:sz="4" w:space="0" w:color="000000"/>
              <w:right w:val="single" w:sz="4" w:space="0" w:color="000000"/>
            </w:tcBorders>
          </w:tcPr>
          <w:p w14:paraId="2B82680B" w14:textId="7151EDFC" w:rsidR="004F1822" w:rsidRDefault="004F1822">
            <w:pPr>
              <w:pStyle w:val="Body"/>
              <w:rPr>
                <w:sz w:val="22"/>
                <w:szCs w:val="22"/>
              </w:rPr>
            </w:pPr>
            <w:r>
              <w:rPr>
                <w:sz w:val="22"/>
                <w:szCs w:val="22"/>
              </w:rPr>
              <w:t>-300.0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26889" w14:textId="70E565E1" w:rsidR="004F1822" w:rsidRDefault="004F1822">
            <w:pPr>
              <w:pStyle w:val="Body"/>
            </w:pPr>
            <w:r>
              <w:rPr>
                <w:sz w:val="22"/>
                <w:szCs w:val="22"/>
              </w:rPr>
              <w:t>0.53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1168" w14:textId="77777777"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A11E" w14:textId="77777777" w:rsidR="004F1822" w:rsidRDefault="004F1822">
            <w:pPr>
              <w:pStyle w:val="Body"/>
            </w:pPr>
            <w:r>
              <w:rPr>
                <w:sz w:val="22"/>
                <w:szCs w:val="22"/>
              </w:rPr>
              <w:t>1.20</w:t>
            </w:r>
          </w:p>
        </w:tc>
      </w:tr>
      <w:tr w:rsidR="004F1822" w14:paraId="5479F2EF"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9EBB9F" w14:textId="0F820681"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61FBA27" w14:textId="6A7E9D2D" w:rsidR="004F1822" w:rsidRDefault="004F1822">
            <w:pPr>
              <w:pStyle w:val="Body"/>
              <w:ind w:left="72"/>
            </w:pPr>
            <w:r>
              <w:rPr>
                <w:sz w:val="22"/>
                <w:szCs w:val="22"/>
              </w:rPr>
              <w:t>Prairie 2</w:t>
            </w:r>
          </w:p>
        </w:tc>
        <w:tc>
          <w:tcPr>
            <w:tcW w:w="1332" w:type="dxa"/>
            <w:tcBorders>
              <w:top w:val="single" w:sz="4" w:space="0" w:color="000000"/>
              <w:left w:val="single" w:sz="4" w:space="0" w:color="000000"/>
              <w:bottom w:val="single" w:sz="4" w:space="0" w:color="000000"/>
              <w:right w:val="single" w:sz="4" w:space="0" w:color="000000"/>
            </w:tcBorders>
          </w:tcPr>
          <w:p w14:paraId="1C37C848" w14:textId="61681747" w:rsidR="004F1822" w:rsidRDefault="004F1822">
            <w:pPr>
              <w:pStyle w:val="Body"/>
              <w:rPr>
                <w:sz w:val="22"/>
                <w:szCs w:val="22"/>
              </w:rPr>
            </w:pPr>
            <w:r>
              <w:rPr>
                <w:sz w:val="22"/>
                <w:szCs w:val="22"/>
              </w:rPr>
              <w:t>-216.2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DD51" w14:textId="44DE38D9" w:rsidR="004F1822" w:rsidRDefault="004F1822">
            <w:pPr>
              <w:pStyle w:val="Body"/>
            </w:pPr>
            <w:r>
              <w:rPr>
                <w:sz w:val="22"/>
                <w:szCs w:val="22"/>
              </w:rPr>
              <w:t>0.48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B5614" w14:textId="77777777" w:rsidR="004F1822" w:rsidRDefault="004F1822">
            <w:pPr>
              <w:pStyle w:val="Body"/>
            </w:pPr>
            <w:r>
              <w:rPr>
                <w:sz w:val="22"/>
                <w:szCs w:val="22"/>
              </w:rPr>
              <w:t>0.52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1F53D" w14:textId="77777777" w:rsidR="004F1822" w:rsidRDefault="004F1822">
            <w:pPr>
              <w:pStyle w:val="Body"/>
            </w:pPr>
            <w:r>
              <w:rPr>
                <w:sz w:val="22"/>
                <w:szCs w:val="22"/>
              </w:rPr>
              <w:t>1.28</w:t>
            </w:r>
          </w:p>
        </w:tc>
      </w:tr>
      <w:tr w:rsidR="004F1822" w14:paraId="527F9DF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D4FA986" w14:textId="0A40312C"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569A97E" w14:textId="176A39B4" w:rsidR="004F1822" w:rsidRDefault="004F1822">
            <w:pPr>
              <w:pStyle w:val="Body"/>
              <w:ind w:left="72"/>
            </w:pPr>
            <w:r>
              <w:rPr>
                <w:sz w:val="22"/>
                <w:szCs w:val="22"/>
              </w:rPr>
              <w:t>Prairie 3</w:t>
            </w:r>
          </w:p>
        </w:tc>
        <w:tc>
          <w:tcPr>
            <w:tcW w:w="1332" w:type="dxa"/>
            <w:tcBorders>
              <w:top w:val="single" w:sz="4" w:space="0" w:color="000000"/>
              <w:left w:val="single" w:sz="4" w:space="0" w:color="000000"/>
              <w:bottom w:val="single" w:sz="4" w:space="0" w:color="000000"/>
              <w:right w:val="single" w:sz="4" w:space="0" w:color="000000"/>
            </w:tcBorders>
          </w:tcPr>
          <w:p w14:paraId="00672A3B" w14:textId="07584BFF" w:rsidR="004F1822" w:rsidRDefault="004F1822">
            <w:pPr>
              <w:pStyle w:val="Body"/>
              <w:rPr>
                <w:sz w:val="22"/>
                <w:szCs w:val="22"/>
              </w:rPr>
            </w:pPr>
            <w:r>
              <w:rPr>
                <w:sz w:val="22"/>
                <w:szCs w:val="22"/>
              </w:rPr>
              <w:t>-519.0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0F411" w14:textId="230B37C4" w:rsidR="004F1822" w:rsidRDefault="004F1822">
            <w:pPr>
              <w:pStyle w:val="Body"/>
            </w:pPr>
            <w:r>
              <w:rPr>
                <w:sz w:val="22"/>
                <w:szCs w:val="22"/>
              </w:rPr>
              <w:t>0.57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1661" w14:textId="77777777" w:rsidR="004F1822" w:rsidRDefault="004F1822">
            <w:pPr>
              <w:pStyle w:val="Body"/>
            </w:pPr>
            <w:r>
              <w:rPr>
                <w:sz w:val="22"/>
                <w:szCs w:val="22"/>
              </w:rPr>
              <w:t>2.17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757C9" w14:textId="77777777" w:rsidR="004F1822" w:rsidRDefault="004F1822">
            <w:pPr>
              <w:pStyle w:val="Body"/>
            </w:pPr>
            <w:r>
              <w:rPr>
                <w:sz w:val="22"/>
                <w:szCs w:val="22"/>
              </w:rPr>
              <w:t>1.15</w:t>
            </w:r>
          </w:p>
        </w:tc>
      </w:tr>
      <w:tr w:rsidR="004F1822" w14:paraId="2AEF38D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7AFB98B" w14:textId="5BAB2233"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A93DB26" w14:textId="3216EDC3" w:rsidR="004F1822" w:rsidRDefault="004F1822">
            <w:pPr>
              <w:pStyle w:val="Body"/>
              <w:ind w:left="72"/>
            </w:pPr>
            <w:r>
              <w:rPr>
                <w:sz w:val="22"/>
                <w:szCs w:val="22"/>
              </w:rPr>
              <w:t>Forest</w:t>
            </w:r>
          </w:p>
        </w:tc>
        <w:tc>
          <w:tcPr>
            <w:tcW w:w="1332" w:type="dxa"/>
            <w:tcBorders>
              <w:top w:val="single" w:sz="4" w:space="0" w:color="000000"/>
              <w:left w:val="single" w:sz="4" w:space="0" w:color="000000"/>
              <w:bottom w:val="single" w:sz="4" w:space="0" w:color="000000"/>
              <w:right w:val="single" w:sz="4" w:space="0" w:color="000000"/>
            </w:tcBorders>
          </w:tcPr>
          <w:p w14:paraId="757558D5" w14:textId="06E481E8" w:rsidR="004F1822" w:rsidRDefault="004F1822">
            <w:pPr>
              <w:pStyle w:val="Body"/>
              <w:rPr>
                <w:sz w:val="22"/>
                <w:szCs w:val="22"/>
              </w:rPr>
            </w:pPr>
            <w:r>
              <w:rPr>
                <w:sz w:val="22"/>
                <w:szCs w:val="22"/>
              </w:rPr>
              <w:t>-1,290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D158" w14:textId="10CBCC9D" w:rsidR="004F1822" w:rsidRDefault="004F1822">
            <w:pPr>
              <w:pStyle w:val="Body"/>
            </w:pPr>
            <w:r>
              <w:rPr>
                <w:sz w:val="22"/>
                <w:szCs w:val="22"/>
              </w:rPr>
              <w:t>0.32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C7E7" w14:textId="77F32725" w:rsidR="004F1822" w:rsidRDefault="004F1822">
            <w:pPr>
              <w:pStyle w:val="Body"/>
            </w:pPr>
            <w:r>
              <w:rPr>
                <w:sz w:val="22"/>
                <w:szCs w:val="22"/>
              </w:rPr>
              <w:t>28,533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1C5D3" w14:textId="77777777" w:rsidR="004F1822" w:rsidRDefault="004F1822">
            <w:pPr>
              <w:pStyle w:val="Body"/>
            </w:pPr>
            <w:r>
              <w:rPr>
                <w:sz w:val="22"/>
                <w:szCs w:val="22"/>
              </w:rPr>
              <w:t>1.19</w:t>
            </w:r>
          </w:p>
        </w:tc>
      </w:tr>
      <w:tr w:rsidR="004F1822" w14:paraId="0BDD73B6"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5E085655" w14:textId="4F4BE7BA"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664A6CA" w14:textId="48740DA8" w:rsidR="004F1822" w:rsidRDefault="004F1822">
            <w:pPr>
              <w:pStyle w:val="Body"/>
              <w:ind w:left="72"/>
            </w:pPr>
            <w:r>
              <w:rPr>
                <w:sz w:val="22"/>
                <w:szCs w:val="22"/>
              </w:rPr>
              <w:t>Grass-Sage</w:t>
            </w:r>
          </w:p>
        </w:tc>
        <w:tc>
          <w:tcPr>
            <w:tcW w:w="1332" w:type="dxa"/>
            <w:tcBorders>
              <w:top w:val="single" w:sz="4" w:space="0" w:color="000000"/>
              <w:left w:val="single" w:sz="4" w:space="0" w:color="000000"/>
              <w:bottom w:val="single" w:sz="4" w:space="0" w:color="000000"/>
              <w:right w:val="single" w:sz="4" w:space="0" w:color="000000"/>
            </w:tcBorders>
          </w:tcPr>
          <w:p w14:paraId="273F3290" w14:textId="618BB1BC" w:rsidR="004F1822" w:rsidRDefault="004F1822">
            <w:pPr>
              <w:pStyle w:val="Body"/>
              <w:rPr>
                <w:sz w:val="22"/>
                <w:szCs w:val="22"/>
              </w:rPr>
            </w:pPr>
            <w:r>
              <w:rPr>
                <w:sz w:val="22"/>
                <w:szCs w:val="22"/>
              </w:rPr>
              <w:t>-70.4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4AE4" w14:textId="31DDDB9F" w:rsidR="004F1822" w:rsidRDefault="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7FA27" w14:textId="496F591E" w:rsidR="004F1822" w:rsidRDefault="004F1822" w:rsidP="004F1822">
            <w:pPr>
              <w:pStyle w:val="Body"/>
            </w:pPr>
            <w:r>
              <w:rPr>
                <w:sz w:val="22"/>
                <w:szCs w:val="22"/>
              </w:rPr>
              <w:t>0.039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45E2B" w14:textId="77777777" w:rsidR="004F1822" w:rsidRDefault="004F1822">
            <w:pPr>
              <w:pStyle w:val="Body"/>
            </w:pPr>
            <w:r>
              <w:rPr>
                <w:sz w:val="22"/>
                <w:szCs w:val="22"/>
              </w:rPr>
              <w:t>1.35</w:t>
            </w:r>
          </w:p>
        </w:tc>
      </w:tr>
      <w:tr w:rsidR="004F1822" w14:paraId="722C1BC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0919C5" w14:textId="2E05A54F"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CC9A9" w14:textId="5ECAD481" w:rsidR="004F1822" w:rsidRDefault="004F1822">
            <w:pPr>
              <w:pStyle w:val="Body"/>
              <w:ind w:left="72"/>
            </w:pPr>
            <w:r>
              <w:rPr>
                <w:sz w:val="22"/>
                <w:szCs w:val="22"/>
              </w:rPr>
              <w:t>Wet Meadow</w:t>
            </w:r>
          </w:p>
        </w:tc>
        <w:tc>
          <w:tcPr>
            <w:tcW w:w="1332" w:type="dxa"/>
            <w:tcBorders>
              <w:top w:val="single" w:sz="4" w:space="0" w:color="000000"/>
              <w:left w:val="single" w:sz="4" w:space="0" w:color="000000"/>
              <w:bottom w:val="single" w:sz="4" w:space="0" w:color="000000"/>
              <w:right w:val="single" w:sz="4" w:space="0" w:color="000000"/>
            </w:tcBorders>
          </w:tcPr>
          <w:p w14:paraId="56436670" w14:textId="2DA301E0" w:rsidR="004F1822" w:rsidRDefault="004F1822">
            <w:pPr>
              <w:pStyle w:val="Body"/>
              <w:rPr>
                <w:sz w:val="22"/>
                <w:szCs w:val="22"/>
              </w:rPr>
            </w:pPr>
            <w:r>
              <w:rPr>
                <w:sz w:val="22"/>
                <w:szCs w:val="22"/>
              </w:rPr>
              <w:t>-967.2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7E72" w14:textId="3E8382F2" w:rsidR="004F1822" w:rsidRDefault="004F1822">
            <w:pPr>
              <w:pStyle w:val="Body"/>
            </w:pPr>
            <w:r>
              <w:rPr>
                <w:sz w:val="22"/>
                <w:szCs w:val="22"/>
              </w:rPr>
              <w:t>0.71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F8CE8" w14:textId="77777777" w:rsidR="004F1822" w:rsidRDefault="004F1822">
            <w:pPr>
              <w:pStyle w:val="Body"/>
            </w:pPr>
            <w:r>
              <w:rPr>
                <w:sz w:val="22"/>
                <w:szCs w:val="22"/>
              </w:rPr>
              <w:t>0.24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D65EE" w14:textId="77777777" w:rsidR="004F1822" w:rsidRDefault="004F1822">
            <w:pPr>
              <w:pStyle w:val="Body"/>
            </w:pPr>
            <w:r>
              <w:rPr>
                <w:sz w:val="22"/>
                <w:szCs w:val="22"/>
              </w:rPr>
              <w:t>1.21</w:t>
            </w:r>
          </w:p>
        </w:tc>
      </w:tr>
      <w:tr w:rsidR="004F1822" w14:paraId="7801F83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0C78E5C7" w14:textId="29A3A044"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132D8AF" w14:textId="512A79AC" w:rsidR="004F1822" w:rsidRDefault="0062461A">
            <w:pPr>
              <w:pStyle w:val="Body"/>
              <w:ind w:left="72"/>
            </w:pPr>
            <w:r>
              <w:rPr>
                <w:sz w:val="22"/>
                <w:szCs w:val="22"/>
              </w:rPr>
              <w:t>Suba</w:t>
            </w:r>
            <w:r w:rsidR="004F1822">
              <w:rPr>
                <w:sz w:val="22"/>
                <w:szCs w:val="22"/>
              </w:rPr>
              <w:t>lpine 1</w:t>
            </w:r>
          </w:p>
        </w:tc>
        <w:tc>
          <w:tcPr>
            <w:tcW w:w="1332" w:type="dxa"/>
            <w:tcBorders>
              <w:top w:val="single" w:sz="4" w:space="0" w:color="000000"/>
              <w:left w:val="single" w:sz="4" w:space="0" w:color="000000"/>
              <w:bottom w:val="single" w:sz="4" w:space="0" w:color="000000"/>
              <w:right w:val="single" w:sz="4" w:space="0" w:color="000000"/>
            </w:tcBorders>
          </w:tcPr>
          <w:p w14:paraId="746602FA" w14:textId="48E25350" w:rsidR="004F1822" w:rsidRDefault="004F1822">
            <w:pPr>
              <w:pStyle w:val="Body"/>
              <w:rPr>
                <w:sz w:val="22"/>
                <w:szCs w:val="22"/>
              </w:rPr>
            </w:pPr>
            <w:r>
              <w:rPr>
                <w:sz w:val="22"/>
                <w:szCs w:val="22"/>
              </w:rPr>
              <w:t>-815.8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03C0" w14:textId="19D0F84D" w:rsidR="004F1822" w:rsidRDefault="004F1822" w:rsidP="004F1822">
            <w:pPr>
              <w:pStyle w:val="Body"/>
            </w:pPr>
            <w:r>
              <w:rPr>
                <w:sz w:val="22"/>
                <w:szCs w:val="22"/>
              </w:rPr>
              <w:t>0.51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BADD" w14:textId="5F5BAA11" w:rsidR="004F1822" w:rsidRDefault="004F1822">
            <w:pPr>
              <w:pStyle w:val="Body"/>
            </w:pPr>
            <w:r>
              <w:rPr>
                <w:sz w:val="22"/>
                <w:szCs w:val="22"/>
              </w:rPr>
              <w:t>0.09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6927" w14:textId="12788447" w:rsidR="004F1822" w:rsidRDefault="004F1822" w:rsidP="004F1822">
            <w:pPr>
              <w:pStyle w:val="Body"/>
            </w:pPr>
            <w:r>
              <w:rPr>
                <w:sz w:val="22"/>
                <w:szCs w:val="22"/>
              </w:rPr>
              <w:t>1.29</w:t>
            </w:r>
          </w:p>
        </w:tc>
      </w:tr>
      <w:tr w:rsidR="004F1822" w14:paraId="5E8B582E"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01B17F5" w14:textId="05481F02"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E9BA01B" w14:textId="1335C44E" w:rsidR="004F1822" w:rsidRDefault="0062461A">
            <w:pPr>
              <w:pStyle w:val="Body"/>
              <w:ind w:left="72"/>
            </w:pPr>
            <w:r>
              <w:rPr>
                <w:sz w:val="22"/>
                <w:szCs w:val="22"/>
              </w:rPr>
              <w:t>Suba</w:t>
            </w:r>
            <w:r w:rsidR="004F1822">
              <w:rPr>
                <w:sz w:val="22"/>
                <w:szCs w:val="22"/>
              </w:rPr>
              <w:t>lpine 2</w:t>
            </w:r>
          </w:p>
        </w:tc>
        <w:tc>
          <w:tcPr>
            <w:tcW w:w="1332" w:type="dxa"/>
            <w:tcBorders>
              <w:top w:val="single" w:sz="4" w:space="0" w:color="000000"/>
              <w:left w:val="single" w:sz="4" w:space="0" w:color="000000"/>
              <w:bottom w:val="single" w:sz="4" w:space="0" w:color="000000"/>
              <w:right w:val="single" w:sz="4" w:space="0" w:color="000000"/>
            </w:tcBorders>
          </w:tcPr>
          <w:p w14:paraId="29655E89" w14:textId="660E2D07" w:rsidR="004F1822" w:rsidRDefault="004F1822">
            <w:pPr>
              <w:pStyle w:val="Body"/>
              <w:rPr>
                <w:sz w:val="22"/>
                <w:szCs w:val="22"/>
              </w:rPr>
            </w:pPr>
            <w:r>
              <w:rPr>
                <w:sz w:val="22"/>
                <w:szCs w:val="22"/>
              </w:rPr>
              <w:t>-162.3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9FB81" w14:textId="088D2231"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25370" w14:textId="77777777" w:rsidR="004F1822" w:rsidRDefault="004F1822">
            <w:pPr>
              <w:pStyle w:val="Body"/>
            </w:pPr>
            <w:r>
              <w:rPr>
                <w:sz w:val="22"/>
                <w:szCs w:val="22"/>
              </w:rPr>
              <w:t>0.18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C5C8" w14:textId="77777777" w:rsidR="004F1822" w:rsidRDefault="004F1822">
            <w:pPr>
              <w:pStyle w:val="Body"/>
            </w:pPr>
            <w:r>
              <w:rPr>
                <w:sz w:val="22"/>
                <w:szCs w:val="22"/>
              </w:rPr>
              <w:t>1.20</w:t>
            </w:r>
          </w:p>
        </w:tc>
      </w:tr>
      <w:tr w:rsidR="004F1822" w14:paraId="1908B3A4"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1762131" w14:textId="3ADA3C16"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2C2C457" w14:textId="184DEE14" w:rsidR="004F1822" w:rsidRDefault="0062461A">
            <w:pPr>
              <w:pStyle w:val="Body"/>
              <w:ind w:left="72"/>
            </w:pPr>
            <w:r>
              <w:rPr>
                <w:sz w:val="22"/>
                <w:szCs w:val="22"/>
              </w:rPr>
              <w:t>Suba</w:t>
            </w:r>
            <w:r w:rsidR="004F1822">
              <w:rPr>
                <w:sz w:val="22"/>
                <w:szCs w:val="22"/>
              </w:rPr>
              <w:t>lpine 3</w:t>
            </w:r>
          </w:p>
        </w:tc>
        <w:tc>
          <w:tcPr>
            <w:tcW w:w="1332" w:type="dxa"/>
            <w:tcBorders>
              <w:top w:val="single" w:sz="4" w:space="0" w:color="000000"/>
              <w:left w:val="single" w:sz="4" w:space="0" w:color="000000"/>
              <w:bottom w:val="single" w:sz="4" w:space="0" w:color="000000"/>
              <w:right w:val="single" w:sz="4" w:space="0" w:color="000000"/>
            </w:tcBorders>
          </w:tcPr>
          <w:p w14:paraId="606E4275" w14:textId="798B0A11" w:rsidR="004F1822" w:rsidRDefault="004F1822">
            <w:pPr>
              <w:pStyle w:val="Body"/>
              <w:rPr>
                <w:sz w:val="22"/>
                <w:szCs w:val="22"/>
              </w:rPr>
            </w:pPr>
            <w:r>
              <w:rPr>
                <w:sz w:val="22"/>
                <w:szCs w:val="22"/>
              </w:rPr>
              <w:t>-102.5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8DEB4" w14:textId="478A2B10" w:rsidR="004F1822" w:rsidRDefault="004F1822" w:rsidP="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9852" w14:textId="605987F3" w:rsidR="004F1822" w:rsidRDefault="004F1822" w:rsidP="004F1822">
            <w:pPr>
              <w:pStyle w:val="Body"/>
            </w:pPr>
            <w:r>
              <w:rPr>
                <w:sz w:val="22"/>
                <w:szCs w:val="22"/>
              </w:rPr>
              <w:t>0.14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48895" w14:textId="21C89B92" w:rsidR="004F1822" w:rsidRDefault="004F1822" w:rsidP="004F1822">
            <w:pPr>
              <w:pStyle w:val="Body"/>
            </w:pPr>
            <w:r>
              <w:rPr>
                <w:sz w:val="22"/>
                <w:szCs w:val="22"/>
              </w:rPr>
              <w:t>1.21</w:t>
            </w:r>
          </w:p>
        </w:tc>
      </w:tr>
      <w:tr w:rsidR="004F1822" w14:paraId="21C2001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957585A" w14:textId="613FDFD9" w:rsidR="004F1822" w:rsidRDefault="004F1822">
            <w:pPr>
              <w:pStyle w:val="Body"/>
              <w:ind w:left="72"/>
              <w:rPr>
                <w:sz w:val="22"/>
                <w:szCs w:val="22"/>
              </w:rPr>
            </w:pPr>
            <w:r>
              <w:rPr>
                <w:sz w:val="22"/>
                <w:szCs w:val="22"/>
              </w:rPr>
              <w:t>THDL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E069A0" w14:textId="284DD406" w:rsidR="004F1822" w:rsidRDefault="004F1822">
            <w:pPr>
              <w:pStyle w:val="Body"/>
              <w:ind w:left="72"/>
            </w:pPr>
            <w:r>
              <w:rPr>
                <w:sz w:val="22"/>
                <w:szCs w:val="22"/>
              </w:rPr>
              <w:t>Desert</w:t>
            </w:r>
          </w:p>
        </w:tc>
        <w:tc>
          <w:tcPr>
            <w:tcW w:w="1332" w:type="dxa"/>
            <w:tcBorders>
              <w:top w:val="single" w:sz="4" w:space="0" w:color="000000"/>
              <w:left w:val="single" w:sz="4" w:space="0" w:color="000000"/>
              <w:bottom w:val="single" w:sz="4" w:space="0" w:color="000000"/>
              <w:right w:val="single" w:sz="4" w:space="0" w:color="000000"/>
            </w:tcBorders>
          </w:tcPr>
          <w:p w14:paraId="57AFD774" w14:textId="632ABC6A" w:rsidR="004F1822" w:rsidRDefault="004F1822">
            <w:pPr>
              <w:pStyle w:val="Body"/>
              <w:rPr>
                <w:sz w:val="22"/>
                <w:szCs w:val="22"/>
              </w:rPr>
            </w:pPr>
            <w:r>
              <w:rPr>
                <w:sz w:val="22"/>
                <w:szCs w:val="22"/>
              </w:rPr>
              <w:t>-2,760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E15B4" w14:textId="32B099A1" w:rsidR="004F1822" w:rsidRDefault="004F1822" w:rsidP="004F1822">
            <w:pPr>
              <w:pStyle w:val="Body"/>
            </w:pPr>
            <w:r>
              <w:rPr>
                <w:sz w:val="22"/>
                <w:szCs w:val="22"/>
              </w:rPr>
              <w:t>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34DF1" w14:textId="2C165647" w:rsidR="004F1822" w:rsidRDefault="004F1822">
            <w:pPr>
              <w:pStyle w:val="Body"/>
            </w:pPr>
            <w:r>
              <w:rPr>
                <w:sz w:val="22"/>
                <w:szCs w:val="22"/>
              </w:rPr>
              <w:t>3,230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1EF30" w14:textId="77777777" w:rsidR="004F1822" w:rsidRDefault="004F1822">
            <w:pPr>
              <w:pStyle w:val="Body"/>
            </w:pPr>
            <w:r>
              <w:rPr>
                <w:sz w:val="22"/>
                <w:szCs w:val="22"/>
              </w:rPr>
              <w:t>1.17</w:t>
            </w:r>
          </w:p>
        </w:tc>
      </w:tr>
    </w:tbl>
    <w:p w14:paraId="2A898124" w14:textId="77777777" w:rsidR="00C32436" w:rsidRDefault="00C32436">
      <w:pPr>
        <w:pStyle w:val="Body"/>
        <w:widowControl w:val="0"/>
        <w:ind w:left="108" w:hanging="108"/>
        <w:jc w:val="center"/>
      </w:pPr>
    </w:p>
    <w:p w14:paraId="782C0A4E" w14:textId="77777777" w:rsidR="00C32436" w:rsidRDefault="00C32436">
      <w:pPr>
        <w:pStyle w:val="Body"/>
      </w:pPr>
    </w:p>
    <w:p w14:paraId="1B7F8265" w14:textId="77777777" w:rsidR="00C32436" w:rsidRDefault="00C32436">
      <w:pPr>
        <w:pStyle w:val="Body"/>
      </w:pPr>
    </w:p>
    <w:sectPr w:rsidR="00C32436">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3887A" w14:textId="77777777" w:rsidR="00DA2760" w:rsidRDefault="00DA2760">
      <w:r>
        <w:separator/>
      </w:r>
    </w:p>
  </w:endnote>
  <w:endnote w:type="continuationSeparator" w:id="0">
    <w:p w14:paraId="70676849" w14:textId="77777777" w:rsidR="00DA2760" w:rsidRDefault="00DA2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F4BFB" w14:textId="77777777" w:rsidR="003A73C5" w:rsidRDefault="003A73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9D4E9" w14:textId="77777777" w:rsidR="00DA2760" w:rsidRDefault="00DA2760">
      <w:r>
        <w:separator/>
      </w:r>
    </w:p>
  </w:footnote>
  <w:footnote w:type="continuationSeparator" w:id="0">
    <w:p w14:paraId="3782A2F3" w14:textId="77777777" w:rsidR="00DA2760" w:rsidRDefault="00DA27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6E0F" w14:textId="77777777" w:rsidR="003A73C5" w:rsidRDefault="003A73C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C32436"/>
    <w:rsid w:val="000203FF"/>
    <w:rsid w:val="00022CD2"/>
    <w:rsid w:val="0004282E"/>
    <w:rsid w:val="000604F1"/>
    <w:rsid w:val="00080EF5"/>
    <w:rsid w:val="00084357"/>
    <w:rsid w:val="00084FEE"/>
    <w:rsid w:val="00096227"/>
    <w:rsid w:val="000A528E"/>
    <w:rsid w:val="000B1B2E"/>
    <w:rsid w:val="000C5F38"/>
    <w:rsid w:val="000C79CA"/>
    <w:rsid w:val="000D7D8F"/>
    <w:rsid w:val="000E08F7"/>
    <w:rsid w:val="000F156D"/>
    <w:rsid w:val="001048CF"/>
    <w:rsid w:val="001254C6"/>
    <w:rsid w:val="00173E0C"/>
    <w:rsid w:val="0017711E"/>
    <w:rsid w:val="001918DC"/>
    <w:rsid w:val="001A41A9"/>
    <w:rsid w:val="001B6E3C"/>
    <w:rsid w:val="001D7FCF"/>
    <w:rsid w:val="00224410"/>
    <w:rsid w:val="0023113A"/>
    <w:rsid w:val="00256FD7"/>
    <w:rsid w:val="00285C38"/>
    <w:rsid w:val="00297816"/>
    <w:rsid w:val="002978A6"/>
    <w:rsid w:val="002D503D"/>
    <w:rsid w:val="00335E3C"/>
    <w:rsid w:val="003A18ED"/>
    <w:rsid w:val="003A73C5"/>
    <w:rsid w:val="003D13D8"/>
    <w:rsid w:val="003D2F63"/>
    <w:rsid w:val="00446FE2"/>
    <w:rsid w:val="00467D57"/>
    <w:rsid w:val="004779DF"/>
    <w:rsid w:val="004809F9"/>
    <w:rsid w:val="004A7946"/>
    <w:rsid w:val="004B7E18"/>
    <w:rsid w:val="004C4602"/>
    <w:rsid w:val="004C7DA1"/>
    <w:rsid w:val="004D3DC8"/>
    <w:rsid w:val="004E4E00"/>
    <w:rsid w:val="004F1822"/>
    <w:rsid w:val="0050695B"/>
    <w:rsid w:val="0051067B"/>
    <w:rsid w:val="00511AC8"/>
    <w:rsid w:val="0056336C"/>
    <w:rsid w:val="00594BBA"/>
    <w:rsid w:val="006224B0"/>
    <w:rsid w:val="0062461A"/>
    <w:rsid w:val="00624D82"/>
    <w:rsid w:val="00666F97"/>
    <w:rsid w:val="00690330"/>
    <w:rsid w:val="00692018"/>
    <w:rsid w:val="006A4CFC"/>
    <w:rsid w:val="006C38AF"/>
    <w:rsid w:val="006C563D"/>
    <w:rsid w:val="006F469E"/>
    <w:rsid w:val="0072586B"/>
    <w:rsid w:val="00730614"/>
    <w:rsid w:val="0073111C"/>
    <w:rsid w:val="00782537"/>
    <w:rsid w:val="007A583E"/>
    <w:rsid w:val="007C7804"/>
    <w:rsid w:val="008117EF"/>
    <w:rsid w:val="00817EEC"/>
    <w:rsid w:val="00820269"/>
    <w:rsid w:val="00837BD6"/>
    <w:rsid w:val="00861993"/>
    <w:rsid w:val="00864223"/>
    <w:rsid w:val="008839F2"/>
    <w:rsid w:val="00884FE4"/>
    <w:rsid w:val="00927E23"/>
    <w:rsid w:val="00931C72"/>
    <w:rsid w:val="00982830"/>
    <w:rsid w:val="009E16BD"/>
    <w:rsid w:val="009E49E3"/>
    <w:rsid w:val="009F6456"/>
    <w:rsid w:val="00A205BD"/>
    <w:rsid w:val="00A46E3E"/>
    <w:rsid w:val="00A50D71"/>
    <w:rsid w:val="00A5741A"/>
    <w:rsid w:val="00A60547"/>
    <w:rsid w:val="00A83511"/>
    <w:rsid w:val="00A84118"/>
    <w:rsid w:val="00A91C32"/>
    <w:rsid w:val="00AB67D6"/>
    <w:rsid w:val="00B014CD"/>
    <w:rsid w:val="00B33206"/>
    <w:rsid w:val="00B4699B"/>
    <w:rsid w:val="00B6694F"/>
    <w:rsid w:val="00B87529"/>
    <w:rsid w:val="00BD78B7"/>
    <w:rsid w:val="00BE3189"/>
    <w:rsid w:val="00BE5BF8"/>
    <w:rsid w:val="00C32436"/>
    <w:rsid w:val="00C567E9"/>
    <w:rsid w:val="00C73B19"/>
    <w:rsid w:val="00C85A24"/>
    <w:rsid w:val="00CA2710"/>
    <w:rsid w:val="00CE0C65"/>
    <w:rsid w:val="00CE70CB"/>
    <w:rsid w:val="00D77A53"/>
    <w:rsid w:val="00DA2760"/>
    <w:rsid w:val="00DB1C93"/>
    <w:rsid w:val="00DD2FD4"/>
    <w:rsid w:val="00E17EF7"/>
    <w:rsid w:val="00E21DC8"/>
    <w:rsid w:val="00E21FEA"/>
    <w:rsid w:val="00E22DCA"/>
    <w:rsid w:val="00E60B4A"/>
    <w:rsid w:val="00E706D2"/>
    <w:rsid w:val="00E84646"/>
    <w:rsid w:val="00E95935"/>
    <w:rsid w:val="00EA090B"/>
    <w:rsid w:val="00EA49FB"/>
    <w:rsid w:val="00EA5BEE"/>
    <w:rsid w:val="00EB20AE"/>
    <w:rsid w:val="00EC5EBB"/>
    <w:rsid w:val="00ED079E"/>
    <w:rsid w:val="00ED7A4B"/>
    <w:rsid w:val="00EE026E"/>
    <w:rsid w:val="00EF4CF7"/>
    <w:rsid w:val="00F005F3"/>
    <w:rsid w:val="00F0622C"/>
    <w:rsid w:val="00F23B55"/>
    <w:rsid w:val="00F4496A"/>
    <w:rsid w:val="00F458DB"/>
    <w:rsid w:val="00F62656"/>
    <w:rsid w:val="00F63207"/>
    <w:rsid w:val="00F65815"/>
    <w:rsid w:val="00F70DE3"/>
    <w:rsid w:val="00F774A0"/>
    <w:rsid w:val="00F77F4C"/>
    <w:rsid w:val="00F806F4"/>
    <w:rsid w:val="00F84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A4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94F"/>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ascii="Cambria" w:eastAsia="Cambria" w:hAnsi="Cambria" w:cs="Cambria"/>
      <w:color w:val="000000"/>
      <w:u w:color="000000"/>
    </w:rPr>
  </w:style>
  <w:style w:type="paragraph" w:styleId="BalloonText">
    <w:name w:val="Balloon Text"/>
    <w:basedOn w:val="Normal"/>
    <w:link w:val="BalloonTextChar"/>
    <w:uiPriority w:val="99"/>
    <w:semiHidden/>
    <w:unhideWhenUsed/>
    <w:rsid w:val="00BD7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8B7"/>
    <w:rPr>
      <w:rFonts w:ascii="Lucida Grande" w:hAnsi="Lucida Grande" w:cs="Lucida Grande"/>
      <w:sz w:val="18"/>
      <w:szCs w:val="18"/>
    </w:rPr>
  </w:style>
  <w:style w:type="character" w:styleId="PlaceholderText">
    <w:name w:val="Placeholder Text"/>
    <w:basedOn w:val="DefaultParagraphFont"/>
    <w:uiPriority w:val="99"/>
    <w:semiHidden/>
    <w:rsid w:val="00F4496A"/>
    <w:rPr>
      <w:color w:val="808080"/>
    </w:rPr>
  </w:style>
  <w:style w:type="paragraph" w:styleId="Bibliography">
    <w:name w:val="Bibliography"/>
    <w:basedOn w:val="Normal"/>
    <w:next w:val="Normal"/>
    <w:uiPriority w:val="37"/>
    <w:unhideWhenUsed/>
    <w:rsid w:val="00EA5BEE"/>
    <w:pPr>
      <w:pBdr>
        <w:top w:val="nil"/>
        <w:left w:val="nil"/>
        <w:bottom w:val="nil"/>
        <w:right w:val="nil"/>
        <w:between w:val="nil"/>
        <w:bar w:val="nil"/>
      </w:pBdr>
      <w:spacing w:line="480" w:lineRule="auto"/>
      <w:ind w:left="720" w:hanging="720"/>
    </w:pPr>
    <w:rPr>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4088">
      <w:bodyDiv w:val="1"/>
      <w:marLeft w:val="0"/>
      <w:marRight w:val="0"/>
      <w:marTop w:val="0"/>
      <w:marBottom w:val="0"/>
      <w:divBdr>
        <w:top w:val="none" w:sz="0" w:space="0" w:color="auto"/>
        <w:left w:val="none" w:sz="0" w:space="0" w:color="auto"/>
        <w:bottom w:val="none" w:sz="0" w:space="0" w:color="auto"/>
        <w:right w:val="none" w:sz="0" w:space="0" w:color="auto"/>
      </w:divBdr>
    </w:div>
    <w:div w:id="1746338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43AC3-0226-0245-B73A-B119B38A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25</Pages>
  <Words>26470</Words>
  <Characters>150884</Characters>
  <Application>Microsoft Macintosh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177001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Kerkhoff</dc:creator>
  <cp:keywords/>
  <dc:description/>
  <cp:lastModifiedBy>Microsoft Office User</cp:lastModifiedBy>
  <cp:revision>11</cp:revision>
  <dcterms:created xsi:type="dcterms:W3CDTF">2017-09-07T12:43:00Z</dcterms:created>
  <dcterms:modified xsi:type="dcterms:W3CDTF">2018-08-02T15:07:00Z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id="g16HblYj"/&gt;&lt;style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 name="noteType" value="0"/&gt;&lt;/prefs&gt;&lt;/data&gt;</vt:lpwstr>
  </property>
</Properties>
</file>