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rFonts w:ascii="Calibri" w:cs="Calibri" w:eastAsia="Calibri" w:hAnsi="Calibri"/>
          <w:b/>
          <w:bCs/>
          <w:i w:val="false"/>
          <w:iCs w:val="false"/>
          <w:color w:val="595959"/>
          <w:sz w:val="24"/>
          <w:szCs w:val="24"/>
        </w:rPr>
        <w:t xml:space="preserve">PARTICIPANT PACKET  |  Day 2, Session 3: Data Protection in Both Directions</w:t>
      </w:r>
    </w:p>
    <w:p>
      <w:pPr>
        <w:spacing w:after="120"/>
      </w:pPr>
      <w:r>
        <w:rPr>
          <w:rFonts w:ascii="Calibri" w:cs="Calibri" w:eastAsia="Calibri" w:hAnsi="Calibri"/>
          <w:b/>
          <w:bCs/>
          <w:i w:val="false"/>
          <w:iCs w:val="false"/>
          <w:color w:val="7A0019"/>
          <w:sz w:val="64"/>
          <w:szCs w:val="64"/>
        </w:rPr>
        <w:t xml:space="preserve">Cold Front</w:t>
      </w:r>
    </w:p>
    <w:p>
      <w:pPr>
        <w:pBdr>
          <w:bottom w:val="single" w:color="FFCC33" w:sz="16" w:space="8"/>
        </w:pBdr>
        <w:spacing w:after="360"/>
      </w:pPr>
      <w:r>
        <w:rPr>
          <w:rFonts w:ascii="Calibri" w:cs="Calibri" w:eastAsia="Calibri" w:hAnsi="Calibri"/>
          <w:b w:val="false"/>
          <w:bCs w:val="false"/>
          <w:i w:val="false"/>
          <w:iCs w:val="false"/>
          <w:color w:val="2B2B2B"/>
          <w:sz w:val="30"/>
          <w:szCs w:val="30"/>
        </w:rPr>
        <w:t xml:space="preserve">A ransomware tabletop for the University of Minnesota</w:t>
      </w:r>
    </w:p>
    <w:p>
      <w:pPr>
        <w:spacing w:after="80"/>
      </w:pPr>
      <w:r>
        <w:rPr>
          <w:rFonts w:ascii="Calibri" w:cs="Calibri" w:eastAsia="Calibri" w:hAnsi="Calibri"/>
          <w:b w:val="false"/>
          <w:bCs w:val="false"/>
          <w:i w:val="false"/>
          <w:iCs w:val="false"/>
          <w:color w:val="595959"/>
          <w:sz w:val="22"/>
          <w:szCs w:val="22"/>
        </w:rPr>
        <w:t xml:space="preserve">Azure Storage, Data Protection, and Resilience at Scale</w:t>
      </w:r>
    </w:p>
    <w:p>
      <w:pPr>
        <w:spacing w:after="80"/>
      </w:pPr>
      <w:r>
        <w:rPr>
          <w:rFonts w:ascii="Calibri" w:cs="Calibri" w:eastAsia="Calibri" w:hAnsi="Calibri"/>
          <w:b w:val="false"/>
          <w:bCs w:val="false"/>
          <w:i w:val="false"/>
          <w:iCs w:val="false"/>
          <w:color w:val="595959"/>
          <w:sz w:val="22"/>
          <w:szCs w:val="22"/>
        </w:rPr>
        <w:t xml:space="preserve">60 minutes  |  Two teams  |  Three moves  |  One fictional very bad Saturday</w:t>
      </w:r>
    </w:p>
    <w:p>
      <w:pPr>
        <w:spacing w:after="80"/>
      </w:pPr>
      <w:r>
        <w:rPr>
          <w:rFonts w:ascii="Calibri" w:cs="Calibri" w:eastAsia="Calibri" w:hAnsi="Calibri"/>
          <w:b w:val="false"/>
          <w:bCs w:val="false"/>
          <w:i w:val="false"/>
          <w:iCs w:val="false"/>
          <w:color w:val="595959"/>
          <w:sz w:val="22"/>
          <w:szCs w:val="22"/>
        </w:rPr>
        <w:t xml:space="preserve">Team: ______________________   Role: ______________________</w:t>
      </w:r>
    </w:p>
    <w:p>
      <w:pPr>
        <w:spacing w:after="6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val="off"/>
        </w:trPr>
        <w:tc>
          <w:tcPr>
            <w:tcW w:type="dxa" w:w="10080"/>
            <w:tcBorders>
              <w:top w:val="none" w:color="FFF4CC" w:sz="0"/>
              <w:left w:val="single" w:color="7A0019" w:sz="24"/>
              <w:bottom w:val="none" w:color="FFF4CC" w:sz="0"/>
              <w:right w:val="none" w:color="FFF4CC" w:sz="0"/>
            </w:tcBorders>
            <w:shd w:fill="FFF4CC" w:color="auto" w:val="clear"/>
            <w:tcMar>
              <w:top w:type="dxa" w:w="120"/>
              <w:left w:type="dxa" w:w="160"/>
              <w:bottom w:type="dxa" w:w="100"/>
              <w:right w:type="dxa" w:w="160"/>
            </w:tcMar>
          </w:tcPr>
          <w:p>
            <w:pPr>
              <w:spacing w:after="60" w:line="252"/>
            </w:pPr>
            <w:r>
              <w:rPr>
                <w:rFonts w:ascii="Calibri" w:cs="Calibri" w:eastAsia="Calibri" w:hAnsi="Calibri"/>
                <w:b w:val="false"/>
                <w:bCs w:val="false"/>
                <w:i w:val="false"/>
                <w:iCs w:val="false"/>
                <w:color w:val="2B2B2B"/>
                <w:sz w:val="21"/>
                <w:szCs w:val="21"/>
              </w:rPr>
              <w:t xml:space="preserve">Everything in this packet is fictional and built for training: the systems, the accounts, the dates, the attacker, and the events. No real person is depicted. The packet is open book. Use the Controls Menu and the Field Guide freely; nobody is expected to have memorized anything they heard this morning.</w:t>
            </w:r>
          </w:p>
        </w:tc>
      </w:tr>
    </w:tbl>
    <w:p>
      <w:r>
        <w:br w:type="page"/>
      </w:r>
    </w:p>
    <w:p>
      <w:pPr>
        <w:pStyle w:val="Heading1"/>
        <w:keepNext/>
        <w:spacing w:after="160" w:before="360"/>
      </w:pPr>
      <w:r>
        <w:rPr>
          <w:rFonts w:ascii="Calibri" w:cs="Calibri" w:eastAsia="Calibri" w:hAnsi="Calibri"/>
          <w:b/>
          <w:bCs/>
          <w:color w:val="7A0019"/>
          <w:sz w:val="36"/>
          <w:szCs w:val="36"/>
        </w:rPr>
        <w:t xml:space="preserve">1. Welcome to the Cold Front</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Leadership wants to say "we offer immutable data protection" with confidence. This morning you saw the controls that make that sentence true and watched five attack paths get refused live. Now it is your turn to defend the university. A fictional crew calling itself Cold Front is about to pay a visit. You do not know when, or how, or what they already know about your environment. You have 12 Protection Credits and 12 minutes to fortify both directions of data protection. Then the attack lands, and we find out what holds.</w:t>
      </w:r>
    </w:p>
    <w:p>
      <w:pPr>
        <w:pStyle w:val="Heading2"/>
        <w:keepNext/>
        <w:spacing w:after="120" w:before="280"/>
      </w:pPr>
      <w:r>
        <w:rPr>
          <w:rFonts w:ascii="Calibri" w:cs="Calibri" w:eastAsia="Calibri" w:hAnsi="Calibri"/>
          <w:b/>
          <w:bCs/>
          <w:color w:val="7A0019"/>
          <w:sz w:val="28"/>
          <w:szCs w:val="28"/>
        </w:rPr>
        <w:t xml:space="preserve">The three moves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822"/>
        <w:gridCol w:w="1210"/>
        <w:gridCol w:w="6048"/>
      </w:tblGrid>
      <w:tr>
        <w:trPr>
          <w:tblHeader/>
        </w:trPr>
        <w:tc>
          <w:tcPr>
            <w:tcW w:type="dxa" w:w="2822"/>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Move</w:t>
            </w:r>
          </w:p>
        </w:tc>
        <w:tc>
          <w:tcPr>
            <w:tcW w:type="dxa" w:w="121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Minutes</w:t>
            </w:r>
          </w:p>
        </w:tc>
        <w:tc>
          <w:tcPr>
            <w:tcW w:type="dxa" w:w="604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What your team produces</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Move 1: Fortify (Before)</w:t>
            </w:r>
          </w:p>
        </w:tc>
        <w:tc>
          <w:tcPr>
            <w:tcW w:type="dxa" w:w="12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12</w:t>
            </w:r>
          </w:p>
        </w:tc>
        <w:tc>
          <w:tcPr>
            <w:tcW w:type="dxa" w:w="604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A design: which controls you turn on, where, and why, inside a 12-credit budget. Once committed, it cannot change.</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Move 2: Hold the line (During)</w:t>
            </w:r>
          </w:p>
        </w:tc>
        <w:tc>
          <w:tcPr>
            <w:tcW w:type="dxa" w:w="1210"/>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14</w:t>
            </w:r>
          </w:p>
        </w:tc>
        <w:tc>
          <w:tcPr>
            <w:tcW w:type="dxa" w:w="604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For each attacker move the facilitator reveals, a declaration: which of your controls holds, whether it holds fully or only for a while, and why. Then your first-hour action list.</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Move 3: Recover (After)</w:t>
            </w:r>
          </w:p>
        </w:tc>
        <w:tc>
          <w:tcPr>
            <w:tcW w:type="dxa" w:w="12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12</w:t>
            </w:r>
          </w:p>
        </w:tc>
        <w:tc>
          <w:tcPr>
            <w:tcW w:type="dxa" w:w="604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A recovery plan: what you restore first, from which point in time, to where, how you prove it worked, who you call, and what it costs. Plus a response to one twist.</w:t>
            </w:r>
          </w:p>
        </w:tc>
      </w:tr>
    </w:tbl>
    <w:p>
      <w:pPr>
        <w:pStyle w:val="Heading2"/>
        <w:keepNext/>
        <w:spacing w:after="120" w:before="280"/>
      </w:pPr>
      <w:r>
        <w:rPr>
          <w:rFonts w:ascii="Calibri" w:cs="Calibri" w:eastAsia="Calibri" w:hAnsi="Calibri"/>
          <w:b/>
          <w:bCs/>
          <w:color w:val="7A0019"/>
          <w:sz w:val="28"/>
          <w:szCs w:val="28"/>
        </w:rPr>
        <w:t xml:space="preserve">How you score</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1411"/>
        <w:gridCol w:w="2016"/>
        <w:gridCol w:w="6653"/>
      </w:tblGrid>
      <w:tr>
        <w:trPr>
          <w:tblHeader/>
        </w:trPr>
        <w:tc>
          <w:tcPr>
            <w:tcW w:type="dxa" w:w="141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Where</w:t>
            </w:r>
          </w:p>
        </w:tc>
        <w:tc>
          <w:tcPr>
            <w:tcW w:type="dxa" w:w="201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Resilience Points</w:t>
            </w:r>
          </w:p>
        </w:tc>
        <w:tc>
          <w:tcPr>
            <w:tcW w:type="dxa" w:w="6653"/>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For</w:t>
            </w:r>
          </w:p>
        </w:tc>
      </w:tr>
      <w:tr>
        <w:trPr>
          <w:cantSplit/>
        </w:trPr>
        <w:tc>
          <w:tcPr>
            <w:tcW w:type="dxa" w:w="1411"/>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Move 1</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up to 2</w:t>
            </w:r>
          </w:p>
        </w:tc>
        <w:tc>
          <w:tcPr>
            <w:tcW w:type="dxa" w:w="6653"/>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Staying inside the budget with a written reason per control, and covering both directions</w:t>
            </w:r>
          </w:p>
        </w:tc>
      </w:tr>
      <w:tr>
        <w:trPr>
          <w:cantSplit/>
        </w:trPr>
        <w:tc>
          <w:tcPr>
            <w:tcW w:type="dxa" w:w="1411"/>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Move 2</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up to 12</w:t>
            </w:r>
          </w:p>
        </w:tc>
        <w:tc>
          <w:tcPr>
            <w:tcW w:type="dxa" w:w="6653"/>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Two points per attack card when your control holds against an administrator with full rights; one point when it holds for a while or only until that administrator switches it off</w:t>
            </w:r>
          </w:p>
        </w:tc>
      </w:tr>
      <w:tr>
        <w:trPr>
          <w:cantSplit/>
        </w:trPr>
        <w:tc>
          <w:tcPr>
            <w:tcW w:type="dxa" w:w="1411"/>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Move 3</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up to 8</w:t>
            </w:r>
          </w:p>
        </w:tc>
        <w:tc>
          <w:tcPr>
            <w:tcW w:type="dxa" w:w="6653"/>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Six plan criteria the facilitator will reveal as you go, and two points for the twist</w:t>
            </w:r>
          </w:p>
        </w:tc>
      </w:tr>
      <w:tr>
        <w:trPr>
          <w:cantSplit/>
        </w:trPr>
        <w:tc>
          <w:tcPr>
            <w:tcW w:type="dxa" w:w="1411"/>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Lifelines</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two free</w:t>
            </w:r>
          </w:p>
        </w:tc>
        <w:tc>
          <w:tcPr>
            <w:tcW w:type="dxa" w:w="6653"/>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Ask the facilitator for a hint. After the two free ones, each hint costs one point. Spend them wisely and spend them early.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val="off"/>
        </w:trPr>
        <w:tc>
          <w:tcPr>
            <w:tcW w:type="dxa" w:w="10080"/>
            <w:tcBorders>
              <w:top w:val="none" w:color="FFF4CC" w:sz="0"/>
              <w:left w:val="single" w:color="7A0019" w:sz="24"/>
              <w:bottom w:val="none" w:color="FFF4CC" w:sz="0"/>
              <w:right w:val="none" w:color="FFF4CC" w:sz="0"/>
            </w:tcBorders>
            <w:shd w:fill="FFF4CC"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Ranks at the end</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18 or more: Ice Dam Certified. Nothing got through.</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12 to 17: Survived the Cold Front. Bruised, recoverable.</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Under 12: Frostbitten but wiser. Everyone learned something, which is the point.</w:t>
            </w:r>
          </w:p>
        </w:tc>
      </w:tr>
    </w:tbl>
    <w:p>
      <w:pPr>
        <w:pStyle w:val="Heading2"/>
        <w:keepNext/>
        <w:spacing w:after="120" w:before="280"/>
      </w:pPr>
      <w:r>
        <w:rPr>
          <w:rFonts w:ascii="Calibri" w:cs="Calibri" w:eastAsia="Calibri" w:hAnsi="Calibri"/>
          <w:b/>
          <w:bCs/>
          <w:color w:val="7A0019"/>
          <w:sz w:val="28"/>
          <w:szCs w:val="28"/>
        </w:rPr>
        <w:t xml:space="preserve">House rules</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Assume the administrator is compromised. For every control you choose, ask: can the same person who switched this on switch it off?</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The spokesperson rotates every move. Everyone speaks at least once.</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Each role card has three questions you own. If the table goes quiet, read yours aloud; the table has to answer it.</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Credits blend money and effort. They are not dollars, and you cannot buy everything. That is the FinOps reality the university lives with.</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Declare before you know the score. Both teams declare on every card before the facilitator awards anything.</w:t>
      </w:r>
    </w:p>
    <w:p>
      <w:r>
        <w:br w:type="page"/>
      </w:r>
    </w:p>
    <w:p>
      <w:pPr>
        <w:pStyle w:val="Heading1"/>
        <w:keepNext/>
        <w:spacing w:after="160" w:before="360"/>
      </w:pPr>
      <w:r>
        <w:rPr>
          <w:rFonts w:ascii="Calibri" w:cs="Calibri" w:eastAsia="Calibri" w:hAnsi="Calibri"/>
          <w:b/>
          <w:bCs/>
          <w:color w:val="7A0019"/>
          <w:sz w:val="36"/>
          <w:szCs w:val="36"/>
        </w:rPr>
        <w:t xml:space="preserve">2. Environment Snapshot</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The university's backup estate as of Friday, November 13, 2026, 17:00 Central Time. The Backup Estate Export workbook on the projector is the same data in detail. Read this page carefully; the attacker already has.</w:t>
      </w:r>
    </w:p>
    <w:p>
      <w:pPr>
        <w:pStyle w:val="Heading2"/>
        <w:keepNext/>
        <w:spacing w:after="120" w:before="280"/>
      </w:pPr>
      <w:r>
        <w:rPr>
          <w:rFonts w:ascii="Calibri" w:cs="Calibri" w:eastAsia="Calibri" w:hAnsi="Calibri"/>
          <w:b/>
          <w:bCs/>
          <w:color w:val="7A0019"/>
          <w:sz w:val="28"/>
          <w:szCs w:val="28"/>
        </w:rPr>
        <w:t xml:space="preserve">Direction 1: campus servers into Azure</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016"/>
        <w:gridCol w:w="3326"/>
        <w:gridCol w:w="1008"/>
        <w:gridCol w:w="3730"/>
      </w:tblGrid>
      <w:tr>
        <w:trPr>
          <w:tblHeader/>
        </w:trPr>
        <w:tc>
          <w:tcPr>
            <w:tcW w:type="dxa" w:w="201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System</w:t>
            </w:r>
          </w:p>
        </w:tc>
        <w:tc>
          <w:tcPr>
            <w:tcW w:type="dxa" w:w="332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Purpose</w:t>
            </w:r>
          </w:p>
        </w:tc>
        <w:tc>
          <w:tcPr>
            <w:tcW w:type="dxa" w:w="100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Size</w:t>
            </w:r>
          </w:p>
        </w:tc>
        <w:tc>
          <w:tcPr>
            <w:tcW w:type="dxa" w:w="373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Protection today</w:t>
            </w:r>
          </w:p>
        </w:tc>
      </w:tr>
      <w:tr>
        <w:trPr>
          <w:cantSplit/>
        </w:trPr>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FS-TC-01 to FS-TC-04</w:t>
            </w:r>
          </w:p>
        </w:tc>
        <w:tc>
          <w:tcPr>
            <w:tcW w:type="dxa" w:w="332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Campus file services, 11,400 shares</w:t>
            </w:r>
          </w:p>
        </w:tc>
        <w:tc>
          <w:tcPr>
            <w:tcW w:type="dxa" w:w="100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184 TB</w:t>
            </w:r>
          </w:p>
        </w:tc>
        <w:tc>
          <w:tcPr>
            <w:tcW w:type="dxa" w:w="373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MABS-TC-01 into rsv-cus-mabs-01</w:t>
            </w:r>
          </w:p>
        </w:tc>
      </w:tr>
      <w:tr>
        <w:trPr>
          <w:cantSplit/>
        </w:trPr>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ORA-FIN-01, ORA-FIN-02</w:t>
            </w:r>
          </w:p>
        </w:tc>
        <w:tc>
          <w:tcPr>
            <w:tcW w:type="dxa" w:w="332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Oracle Database 19c, departmental finance application</w:t>
            </w:r>
          </w:p>
        </w:tc>
        <w:tc>
          <w:tcPr>
            <w:tcW w:type="dxa" w:w="100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6.8 TB</w:t>
            </w:r>
          </w:p>
        </w:tc>
        <w:tc>
          <w:tcPr>
            <w:tcW w:type="dxa" w:w="3730"/>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RMAN through the enterprise backup platform to stumnbkpimages01</w:t>
            </w:r>
          </w:p>
        </w:tc>
      </w:tr>
      <w:tr>
        <w:trPr>
          <w:cantSplit/>
        </w:trPr>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SQL-DEPT-03</w:t>
            </w:r>
          </w:p>
        </w:tc>
        <w:tc>
          <w:tcPr>
            <w:tcW w:type="dxa" w:w="332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Departmental SQL Server</w:t>
            </w:r>
          </w:p>
        </w:tc>
        <w:tc>
          <w:tcPr>
            <w:tcW w:type="dxa" w:w="100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1.2 TB</w:t>
            </w:r>
          </w:p>
        </w:tc>
        <w:tc>
          <w:tcPr>
            <w:tcW w:type="dxa" w:w="373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MABS-TC-01, 15-minute log backups</w:t>
            </w:r>
          </w:p>
        </w:tc>
      </w:tr>
      <w:tr>
        <w:trPr>
          <w:cantSplit/>
        </w:trPr>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Six branch servers</w:t>
            </w:r>
          </w:p>
        </w:tc>
        <w:tc>
          <w:tcPr>
            <w:tcW w:type="dxa" w:w="332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System state</w:t>
            </w:r>
          </w:p>
        </w:tc>
        <w:tc>
          <w:tcPr>
            <w:tcW w:type="dxa" w:w="100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0.4 TB</w:t>
            </w:r>
          </w:p>
        </w:tc>
        <w:tc>
          <w:tcPr>
            <w:tcW w:type="dxa" w:w="3730"/>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MARS agent into rsv-cus-mabs-01</w:t>
            </w:r>
          </w:p>
        </w:tc>
      </w:tr>
    </w:tbl>
    <w:p>
      <w:pPr>
        <w:spacing w:after="60"/>
      </w:pPr>
    </w:p>
    <w:p>
      <w:pPr>
        <w:keepNext w:val="false"/>
        <w:spacing w:after="120" w:before="0" w:line="276"/>
        <w:jc w:val="left"/>
      </w:pPr>
      <w:r>
        <w:rPr>
          <w:rFonts w:ascii="Calibri" w:cs="Calibri" w:eastAsia="Calibri" w:hAnsi="Calibri"/>
          <w:b/>
          <w:bCs/>
          <w:i w:val="false"/>
          <w:iCs w:val="false"/>
          <w:color w:val="7A0019"/>
          <w:sz w:val="22"/>
          <w:szCs w:val="22"/>
        </w:rPr>
        <w:t xml:space="preserve">Passphrase. </w:t>
      </w:r>
      <w:r>
        <w:rPr>
          <w:rFonts w:ascii="Calibri" w:cs="Calibri" w:eastAsia="Calibri" w:hAnsi="Calibri"/>
          <w:b w:val="false"/>
          <w:bCs w:val="false"/>
          <w:i w:val="false"/>
          <w:iCs w:val="false"/>
          <w:color w:val="2B2B2B"/>
          <w:sz w:val="22"/>
          <w:szCs w:val="22"/>
        </w:rPr>
        <w:t xml:space="preserve">The MARS and MABS passphrase is recorded in the MABS runbook folder on \\fs-tc-02\itops\mabs.</w:t>
      </w:r>
    </w:p>
    <w:p>
      <w:pPr>
        <w:pStyle w:val="Heading2"/>
        <w:keepNext/>
        <w:spacing w:after="120" w:before="280"/>
      </w:pPr>
      <w:r>
        <w:rPr>
          <w:rFonts w:ascii="Calibri" w:cs="Calibri" w:eastAsia="Calibri" w:hAnsi="Calibri"/>
          <w:b/>
          <w:bCs/>
          <w:color w:val="7A0019"/>
          <w:sz w:val="28"/>
          <w:szCs w:val="28"/>
        </w:rPr>
        <w:t xml:space="preserve">Direction 2: workloads already in Azure (Central US)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1310"/>
        <w:gridCol w:w="1310"/>
        <w:gridCol w:w="2218"/>
        <w:gridCol w:w="1310"/>
        <w:gridCol w:w="1512"/>
        <w:gridCol w:w="1411"/>
        <w:gridCol w:w="1008"/>
      </w:tblGrid>
      <w:tr>
        <w:trPr>
          <w:tblHeader/>
        </w:trPr>
        <w:tc>
          <w:tcPr>
            <w:tcW w:type="dxa" w:w="131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Vault</w:t>
            </w:r>
          </w:p>
        </w:tc>
        <w:tc>
          <w:tcPr>
            <w:tcW w:type="dxa" w:w="131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Type, redundancy</w:t>
            </w:r>
          </w:p>
        </w:tc>
        <w:tc>
          <w:tcPr>
            <w:tcW w:type="dxa" w:w="221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Protects</w:t>
            </w:r>
          </w:p>
        </w:tc>
        <w:tc>
          <w:tcPr>
            <w:tcW w:type="dxa" w:w="131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Policy</w:t>
            </w:r>
          </w:p>
        </w:tc>
        <w:tc>
          <w:tcPr>
            <w:tcW w:type="dxa" w:w="1512"/>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Immutability</w:t>
            </w:r>
          </w:p>
        </w:tc>
        <w:tc>
          <w:tcPr>
            <w:tcW w:type="dxa" w:w="141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Soft delete</w:t>
            </w:r>
          </w:p>
        </w:tc>
        <w:tc>
          <w:tcPr>
            <w:tcW w:type="dxa" w:w="100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MUA</w:t>
            </w:r>
          </w:p>
        </w:tc>
      </w:tr>
      <w:tr>
        <w:trPr>
          <w:cantSplit/>
        </w:trPr>
        <w:tc>
          <w:tcPr>
            <w:tcW w:type="dxa" w:w="13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rsv-cus-infra-01</w:t>
            </w:r>
          </w:p>
        </w:tc>
        <w:tc>
          <w:tcPr>
            <w:tcW w:type="dxa" w:w="13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Recovery Services vault, LRS</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42 Azure VMs, 2 SQL Server in Azure VM databases, 3 Azure Files shares (snapshots only)</w:t>
            </w:r>
          </w:p>
        </w:tc>
        <w:tc>
          <w:tcPr>
            <w:tcW w:type="dxa" w:w="13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DailyPolicy-30d (daily, 30 days)</w:t>
            </w:r>
          </w:p>
        </w:tc>
        <w:tc>
          <w:tcPr>
            <w:tcW w:type="dxa" w:w="151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Disabled</w:t>
            </w:r>
          </w:p>
        </w:tc>
        <w:tc>
          <w:tcPr>
            <w:tcW w:type="dxa" w:w="1411"/>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On, 14 days (basic)</w:t>
            </w:r>
          </w:p>
        </w:tc>
        <w:tc>
          <w:tcPr>
            <w:tcW w:type="dxa" w:w="100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Not configured</w:t>
            </w:r>
          </w:p>
        </w:tc>
      </w:tr>
      <w:tr>
        <w:trPr>
          <w:cantSplit/>
        </w:trPr>
        <w:tc>
          <w:tcPr>
            <w:tcW w:type="dxa" w:w="1310"/>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rsv-cus-mabs-01</w:t>
            </w:r>
          </w:p>
        </w:tc>
        <w:tc>
          <w:tcPr>
            <w:tcW w:type="dxa" w:w="1310"/>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Recovery Services vault, GRS; cross-region restore not enabled</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MABS-TC-01 (FS-TC-01 to FS-TC-04, SQL-DEPT-03) and 6 branch servers via MARS (system state)</w:t>
            </w:r>
          </w:p>
        </w:tc>
        <w:tc>
          <w:tcPr>
            <w:tcW w:type="dxa" w:w="1310"/>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MABS: local disk 7 days, vault 90 days. MARS: daily, 60 days</w:t>
            </w:r>
          </w:p>
        </w:tc>
        <w:tc>
          <w:tcPr>
            <w:tcW w:type="dxa" w:w="151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Disabled</w:t>
            </w:r>
          </w:p>
        </w:tc>
        <w:tc>
          <w:tcPr>
            <w:tcW w:type="dxa" w:w="1411"/>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On, 14 days (basic)</w:t>
            </w:r>
          </w:p>
        </w:tc>
        <w:tc>
          <w:tcPr>
            <w:tcW w:type="dxa" w:w="100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Not configured</w:t>
            </w:r>
          </w:p>
        </w:tc>
      </w:tr>
      <w:tr>
        <w:trPr>
          <w:cantSplit/>
        </w:trPr>
        <w:tc>
          <w:tcPr>
            <w:tcW w:type="dxa" w:w="13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bvault-cus-research-01</w:t>
            </w:r>
          </w:p>
        </w:tc>
        <w:tc>
          <w:tcPr>
            <w:tcW w:type="dxa" w:w="13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Backup vault, LRS</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Vaulted Blob backup for 3 research project storage accounts (420 TB) and 8 managed disks</w:t>
            </w:r>
          </w:p>
        </w:tc>
        <w:tc>
          <w:tcPr>
            <w:tcW w:type="dxa" w:w="131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Weekly vaulted, 1 year</w:t>
            </w:r>
          </w:p>
        </w:tc>
        <w:tc>
          <w:tcPr>
            <w:tcW w:type="dxa" w:w="151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Enabled (not locked)</w:t>
            </w:r>
          </w:p>
        </w:tc>
        <w:tc>
          <w:tcPr>
            <w:tcW w:type="dxa" w:w="1411"/>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On, 14 days (not always-on)</w:t>
            </w:r>
          </w:p>
        </w:tc>
        <w:tc>
          <w:tcPr>
            <w:tcW w:type="dxa" w:w="100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7"/>
                <w:szCs w:val="17"/>
              </w:rPr>
              <w:t xml:space="preserve">Not configured</w:t>
            </w:r>
          </w:p>
        </w:tc>
      </w:tr>
    </w:tbl>
    <w:p>
      <w:pPr>
        <w:spacing w:after="60"/>
      </w:pP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016"/>
        <w:gridCol w:w="2520"/>
        <w:gridCol w:w="1411"/>
        <w:gridCol w:w="806"/>
        <w:gridCol w:w="3326"/>
      </w:tblGrid>
      <w:tr>
        <w:trPr>
          <w:tblHeader/>
        </w:trPr>
        <w:tc>
          <w:tcPr>
            <w:tcW w:type="dxa" w:w="201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Storage account</w:t>
            </w:r>
          </w:p>
        </w:tc>
        <w:tc>
          <w:tcPr>
            <w:tcW w:type="dxa" w:w="252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Purpose</w:t>
            </w:r>
          </w:p>
        </w:tc>
        <w:tc>
          <w:tcPr>
            <w:tcW w:type="dxa" w:w="141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Tier, redundancy</w:t>
            </w:r>
          </w:p>
        </w:tc>
        <w:tc>
          <w:tcPr>
            <w:tcW w:type="dxa" w:w="80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Size</w:t>
            </w:r>
          </w:p>
        </w:tc>
        <w:tc>
          <w:tcPr>
            <w:tcW w:type="dxa" w:w="332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Protection today</w:t>
            </w:r>
          </w:p>
        </w:tc>
      </w:tr>
      <w:tr>
        <w:trPr>
          <w:cantSplit/>
        </w:trPr>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stumnbkpimages01</w:t>
            </w:r>
          </w:p>
        </w:tc>
        <w:tc>
          <w:tcPr>
            <w:tcW w:type="dxa" w:w="252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Oracle RMAN image sets written by the enterprise backup platform</w:t>
            </w:r>
          </w:p>
        </w:tc>
        <w:tc>
          <w:tcPr>
            <w:tcW w:type="dxa" w:w="1411"/>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Cool, LRS</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41 TB</w:t>
            </w:r>
          </w:p>
        </w:tc>
        <w:tc>
          <w:tcPr>
            <w:tcW w:type="dxa" w:w="332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Container oracle-rman: time-based retention 30 days, unlocked. Versioning off. Container soft delete off.</w:t>
            </w:r>
          </w:p>
        </w:tc>
      </w:tr>
      <w:tr>
        <w:trPr>
          <w:cantSplit/>
        </w:trPr>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dlsumnresearchnorth</w:t>
            </w:r>
          </w:p>
        </w:tc>
        <w:tc>
          <w:tcPr>
            <w:tcW w:type="dxa" w:w="2520"/>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Research Institute North data lake (hierarchical namespace)</w:t>
            </w:r>
          </w:p>
        </w:tc>
        <w:tc>
          <w:tcPr>
            <w:tcW w:type="dxa" w:w="1411"/>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Hot and Cool, LRS</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2.3 PB</w:t>
            </w:r>
          </w:p>
        </w:tc>
        <w:tc>
          <w:tcPr>
            <w:tcW w:type="dxa" w:w="332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No backup configured. Container soft delete off.</w:t>
            </w:r>
          </w:p>
        </w:tc>
      </w:tr>
      <w:tr>
        <w:trPr>
          <w:cantSplit/>
        </w:trPr>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stumnarchive340</w:t>
            </w:r>
          </w:p>
        </w:tc>
        <w:tc>
          <w:tcPr>
            <w:tcW w:type="dxa" w:w="2520"/>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Campus Libraries digital collections (the 340-year archive)</w:t>
            </w:r>
          </w:p>
        </w:tc>
        <w:tc>
          <w:tcPr>
            <w:tcW w:type="dxa" w:w="1411"/>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Archive, GRS</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610 TB</w:t>
            </w:r>
          </w:p>
        </w:tc>
        <w:tc>
          <w:tcPr>
            <w:tcW w:type="dxa" w:w="332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Version-level immutability, time-based retention 25 years, locked.</w:t>
            </w:r>
          </w:p>
        </w:tc>
      </w:tr>
    </w:tbl>
    <w:p>
      <w:pPr>
        <w:pStyle w:val="Heading2"/>
        <w:keepNext/>
        <w:spacing w:after="120" w:before="280"/>
      </w:pPr>
      <w:r>
        <w:rPr>
          <w:rFonts w:ascii="Calibri" w:cs="Calibri" w:eastAsia="Calibri" w:hAnsi="Calibri"/>
          <w:b/>
          <w:bCs/>
          <w:color w:val="7A0019"/>
          <w:sz w:val="28"/>
          <w:szCs w:val="28"/>
        </w:rPr>
        <w:t xml:space="preserve">People, alerts, and proof</w:t>
      </w:r>
    </w:p>
    <w:p>
      <w:pPr>
        <w:keepNext w:val="false"/>
        <w:spacing w:after="120" w:before="0" w:line="276"/>
        <w:jc w:val="left"/>
      </w:pPr>
      <w:r>
        <w:rPr>
          <w:rFonts w:ascii="Calibri" w:cs="Calibri" w:eastAsia="Calibri" w:hAnsi="Calibri"/>
          <w:b/>
          <w:bCs/>
          <w:i w:val="false"/>
          <w:iCs w:val="false"/>
          <w:color w:val="7A0019"/>
          <w:sz w:val="22"/>
          <w:szCs w:val="22"/>
        </w:rPr>
        <w:t xml:space="preserve">Identity. </w:t>
      </w:r>
      <w:r>
        <w:rPr>
          <w:rFonts w:ascii="Calibri" w:cs="Calibri" w:eastAsia="Calibri" w:hAnsi="Calibri"/>
          <w:b w:val="false"/>
          <w:bCs w:val="false"/>
          <w:i w:val="false"/>
          <w:iCs w:val="false"/>
          <w:color w:val="2B2B2B"/>
          <w:sz w:val="22"/>
          <w:szCs w:val="22"/>
        </w:rPr>
        <w:t xml:space="preserve">Six principals hold Owner at subscription scope: adm-stor-07, adm-stor-02, adm-net-01, adm-sec-04, svc-bkp-automation (service principal), and svc-iac-deploy (service principal). MFA enforced for users. Privileged Identity Management not in use.</w:t>
      </w:r>
    </w:p>
    <w:p>
      <w:pPr>
        <w:keepNext w:val="false"/>
        <w:spacing w:after="120" w:before="0" w:line="276"/>
        <w:jc w:val="left"/>
      </w:pPr>
      <w:r>
        <w:rPr>
          <w:rFonts w:ascii="Calibri" w:cs="Calibri" w:eastAsia="Calibri" w:hAnsi="Calibri"/>
          <w:b/>
          <w:bCs/>
          <w:i w:val="false"/>
          <w:iCs w:val="false"/>
          <w:color w:val="7A0019"/>
          <w:sz w:val="22"/>
          <w:szCs w:val="22"/>
        </w:rPr>
        <w:t xml:space="preserve">Alerts. </w:t>
      </w:r>
      <w:r>
        <w:rPr>
          <w:rFonts w:ascii="Calibri" w:cs="Calibri" w:eastAsia="Calibri" w:hAnsi="Calibri"/>
          <w:b w:val="false"/>
          <w:bCs w:val="false"/>
          <w:i w:val="false"/>
          <w:iCs w:val="false"/>
          <w:color w:val="2B2B2B"/>
          <w:sz w:val="22"/>
          <w:szCs w:val="22"/>
        </w:rPr>
        <w:t xml:space="preserve">Built-in Azure Monitor alerts for Azure Backup are on. Action group ag-backup-sev0 sends email to a shared mailbox (backupalerts@) that was last opened 41 days ago. Nothing pages a phone.</w:t>
      </w:r>
    </w:p>
    <w:p>
      <w:pPr>
        <w:keepNext w:val="false"/>
        <w:spacing w:after="120" w:before="0" w:line="276"/>
        <w:jc w:val="left"/>
      </w:pPr>
      <w:r>
        <w:rPr>
          <w:rFonts w:ascii="Calibri" w:cs="Calibri" w:eastAsia="Calibri" w:hAnsi="Calibri"/>
          <w:b/>
          <w:bCs/>
          <w:i w:val="false"/>
          <w:iCs w:val="false"/>
          <w:color w:val="7A0019"/>
          <w:sz w:val="22"/>
          <w:szCs w:val="22"/>
        </w:rPr>
        <w:t xml:space="preserve">Restore tests. </w:t>
      </w:r>
      <w:r>
        <w:rPr>
          <w:rFonts w:ascii="Calibri" w:cs="Calibri" w:eastAsia="Calibri" w:hAnsi="Calibri"/>
          <w:b w:val="false"/>
          <w:bCs w:val="false"/>
          <w:i w:val="false"/>
          <w:iCs w:val="false"/>
          <w:color w:val="2B2B2B"/>
          <w:sz w:val="22"/>
          <w:szCs w:val="22"/>
        </w:rPr>
        <w:t xml:space="preserve">Last recorded restore test: 14 months ago, one Azure Files share, restored to the same account.</w:t>
      </w:r>
    </w:p>
    <w:p>
      <w:pPr>
        <w:keepNext w:val="false"/>
        <w:spacing w:after="120" w:before="0" w:line="276"/>
        <w:jc w:val="left"/>
      </w:pPr>
      <w:r>
        <w:rPr>
          <w:rFonts w:ascii="Calibri" w:cs="Calibri" w:eastAsia="Calibri" w:hAnsi="Calibri"/>
          <w:b/>
          <w:bCs/>
          <w:i w:val="false"/>
          <w:iCs w:val="false"/>
          <w:color w:val="7A0019"/>
          <w:sz w:val="22"/>
          <w:szCs w:val="22"/>
        </w:rPr>
        <w:t xml:space="preserve">Region. </w:t>
      </w:r>
      <w:r>
        <w:rPr>
          <w:rFonts w:ascii="Calibri" w:cs="Calibri" w:eastAsia="Calibri" w:hAnsi="Calibri"/>
          <w:b w:val="false"/>
          <w:bCs w:val="false"/>
          <w:i w:val="false"/>
          <w:iCs w:val="false"/>
          <w:color w:val="2B2B2B"/>
          <w:sz w:val="22"/>
          <w:szCs w:val="22"/>
        </w:rPr>
        <w:t xml:space="preserve">Central US, paired with East US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val="off"/>
        </w:trPr>
        <w:tc>
          <w:tcPr>
            <w:tcW w:type="dxa" w:w="10080"/>
            <w:tcBorders>
              <w:top w:val="none" w:color="E8EEF7" w:sz="0"/>
              <w:left w:val="single" w:color="7A0019" w:sz="24"/>
              <w:bottom w:val="none" w:color="E8EEF7" w:sz="0"/>
              <w:right w:val="none" w:color="E8EEF7" w:sz="0"/>
            </w:tcBorders>
            <w:shd w:fill="E8EEF7"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Questions worth asking this page</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Which copies could a stolen Owner account reach from the portal, and what would it be allowed to do to them?</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Which settings on this page are reversible by the person who set them?</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Which item has no copy anywhere, and which copy depends on a single file?</w:t>
            </w:r>
          </w:p>
        </w:tc>
      </w:tr>
    </w:tbl>
    <w:p>
      <w:r>
        <w:br w:type="page"/>
      </w:r>
    </w:p>
    <w:p>
      <w:pPr>
        <w:pStyle w:val="Heading1"/>
        <w:keepNext/>
        <w:spacing w:after="160" w:before="360"/>
      </w:pPr>
      <w:r>
        <w:rPr>
          <w:rFonts w:ascii="Calibri" w:cs="Calibri" w:eastAsia="Calibri" w:hAnsi="Calibri"/>
          <w:b/>
          <w:bCs/>
          <w:color w:val="7A0019"/>
          <w:sz w:val="36"/>
          <w:szCs w:val="36"/>
        </w:rPr>
        <w:t xml:space="preserve">3. Role Cards</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Each team has four roles. With three people, the Storage Lead also carries the Database Lead card. Your card tells you what you know, which questions you own, and when to ask them. The questions are not trick questions; they are the ones the real role would ask.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6E6E9" w:sz="0"/>
              <w:left w:val="single" w:color="7A0019" w:sz="24"/>
              <w:bottom w:val="none" w:color="F6E6E9" w:sz="0"/>
              <w:right w:val="none" w:color="F6E6E9" w:sz="0"/>
            </w:tcBorders>
            <w:shd w:fill="F6E6E9"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Storage Lead</w:t>
            </w:r>
          </w:p>
          <w:p>
            <w:pPr>
              <w:spacing w:after="80"/>
            </w:pPr>
            <w:r>
              <w:rPr>
                <w:rFonts w:ascii="Calibri" w:cs="Calibri" w:eastAsia="Calibri" w:hAnsi="Calibri"/>
                <w:b/>
                <w:bCs/>
                <w:i w:val="false"/>
                <w:iCs w:val="false"/>
                <w:color w:val="7A0019"/>
                <w:sz w:val="21"/>
                <w:szCs w:val="21"/>
              </w:rPr>
              <w:t xml:space="preserve">You own: </w:t>
            </w:r>
            <w:r>
              <w:rPr>
                <w:rFonts w:ascii="Calibri" w:cs="Calibri" w:eastAsia="Calibri" w:hAnsi="Calibri"/>
                <w:b w:val="false"/>
                <w:bCs w:val="false"/>
                <w:i w:val="false"/>
                <w:iCs w:val="false"/>
                <w:color w:val="2B2B2B"/>
                <w:sz w:val="21"/>
                <w:szCs w:val="21"/>
              </w:rPr>
              <w:t xml:space="preserve">Direction 1: campus servers into Azure. File services, MABS and MARS, the Oracle image container, passphrase custody.</w:t>
            </w:r>
          </w:p>
          <w:p>
            <w:pPr>
              <w:spacing w:after="40"/>
            </w:pPr>
            <w:r>
              <w:rPr>
                <w:rFonts w:ascii="Calibri" w:cs="Calibri" w:eastAsia="Calibri" w:hAnsi="Calibri"/>
                <w:b/>
                <w:bCs/>
                <w:i w:val="false"/>
                <w:iCs w:val="false"/>
                <w:color w:val="2B2B2B"/>
                <w:sz w:val="21"/>
                <w:szCs w:val="21"/>
              </w:rPr>
              <w:t xml:space="preserve">What you know</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FS-TC-01 to FS-TC-04 hold 184 TB across 11,400 shares and are protected by MABS-TC-01 into rsv-cus-mabs-01.</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The MARS and MABS passphrase is written in the runbook folder on \\fs-tc-02\itops\mabs.</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The Oracle RMAN images land in container oracle-rman on storage account stumnbkpimages01 (Cool tier). The container has a 30-day time-based retention policy that was never locked.</w:t>
            </w:r>
          </w:p>
          <w:p>
            <w:pPr>
              <w:spacing w:after="40" w:before="60"/>
            </w:pPr>
            <w:r>
              <w:rPr>
                <w:rFonts w:ascii="Calibri" w:cs="Calibri" w:eastAsia="Calibri" w:hAnsi="Calibri"/>
                <w:b/>
                <w:bCs/>
                <w:i w:val="false"/>
                <w:iCs w:val="false"/>
                <w:color w:val="2B2B2B"/>
                <w:sz w:val="21"/>
                <w:szCs w:val="21"/>
              </w:rPr>
              <w:t xml:space="preserve">Questions you own</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1: Which of our on-premises copies could a compromised administrator reach from the portal?</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2: If the file servers are encrypted, what still exists in Azure and in what state?</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3: What do we need in hand before the first MABS restore can even start?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4CC" w:sz="0"/>
              <w:left w:val="single" w:color="7A0019" w:sz="24"/>
              <w:bottom w:val="none" w:color="FFF4CC" w:sz="0"/>
              <w:right w:val="none" w:color="FFF4CC" w:sz="0"/>
            </w:tcBorders>
            <w:shd w:fill="FFF4CC"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Backup Operator</w:t>
            </w:r>
          </w:p>
          <w:p>
            <w:pPr>
              <w:spacing w:after="80"/>
            </w:pPr>
            <w:r>
              <w:rPr>
                <w:rFonts w:ascii="Calibri" w:cs="Calibri" w:eastAsia="Calibri" w:hAnsi="Calibri"/>
                <w:b/>
                <w:bCs/>
                <w:i w:val="false"/>
                <w:iCs w:val="false"/>
                <w:color w:val="7A0019"/>
                <w:sz w:val="21"/>
                <w:szCs w:val="21"/>
              </w:rPr>
              <w:t xml:space="preserve">You own: </w:t>
            </w:r>
            <w:r>
              <w:rPr>
                <w:rFonts w:ascii="Calibri" w:cs="Calibri" w:eastAsia="Calibri" w:hAnsi="Calibri"/>
                <w:b w:val="false"/>
                <w:bCs w:val="false"/>
                <w:i w:val="false"/>
                <w:iCs w:val="false"/>
                <w:color w:val="2B2B2B"/>
                <w:sz w:val="21"/>
                <w:szCs w:val="21"/>
              </w:rPr>
              <w:t xml:space="preserve">Vault settings: immutability, soft delete, multi-user authorization, policies, redundancy, alerts.</w:t>
            </w:r>
          </w:p>
          <w:p>
            <w:pPr>
              <w:spacing w:after="40"/>
            </w:pPr>
            <w:r>
              <w:rPr>
                <w:rFonts w:ascii="Calibri" w:cs="Calibri" w:eastAsia="Calibri" w:hAnsi="Calibri"/>
                <w:b/>
                <w:bCs/>
                <w:i w:val="false"/>
                <w:iCs w:val="false"/>
                <w:color w:val="2B2B2B"/>
                <w:sz w:val="21"/>
                <w:szCs w:val="21"/>
              </w:rPr>
              <w:t xml:space="preserve">What you know</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rsv-cus-infra-01 protects 42 Azure VMs and 2 SQL Server databases with DailyPolicy-30d. Immutability is Disabled, soft delete is On at the basic 14 days, and multi-user authorization is not configured.</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bvault-cus-research-01 has immutability Enabled but not Locked. Soft delete is On but not always-on.</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Built-in alerts are on. The action group sends email to a shared mailbox that was last opened 41 days ago.</w:t>
            </w:r>
          </w:p>
          <w:p>
            <w:pPr>
              <w:spacing w:after="40" w:before="60"/>
            </w:pPr>
            <w:r>
              <w:rPr>
                <w:rFonts w:ascii="Calibri" w:cs="Calibri" w:eastAsia="Calibri" w:hAnsi="Calibri"/>
                <w:b/>
                <w:bCs/>
                <w:i w:val="false"/>
                <w:iCs w:val="false"/>
                <w:color w:val="2B2B2B"/>
                <w:sz w:val="21"/>
                <w:szCs w:val="21"/>
              </w:rPr>
              <w:t xml:space="preserve">Questions you own</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1: Which settings can the same administrator who turned them on also turn off?</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2: For each attacker move, which vault setting would have refused it, and would the refusal have been logged?</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3: What do our soft delete windows give us, and when do they run out?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E8EEF7" w:sz="0"/>
              <w:left w:val="single" w:color="7A0019" w:sz="24"/>
              <w:bottom w:val="none" w:color="E8EEF7" w:sz="0"/>
              <w:right w:val="none" w:color="E8EEF7" w:sz="0"/>
            </w:tcBorders>
            <w:shd w:fill="E8EEF7"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Database Lead</w:t>
            </w:r>
          </w:p>
          <w:p>
            <w:pPr>
              <w:spacing w:after="80"/>
            </w:pPr>
            <w:r>
              <w:rPr>
                <w:rFonts w:ascii="Calibri" w:cs="Calibri" w:eastAsia="Calibri" w:hAnsi="Calibri"/>
                <w:b/>
                <w:bCs/>
                <w:i w:val="false"/>
                <w:iCs w:val="false"/>
                <w:color w:val="7A0019"/>
                <w:sz w:val="21"/>
                <w:szCs w:val="21"/>
              </w:rPr>
              <w:t xml:space="preserve">You own: </w:t>
            </w:r>
            <w:r>
              <w:rPr>
                <w:rFonts w:ascii="Calibri" w:cs="Calibri" w:eastAsia="Calibri" w:hAnsi="Calibri"/>
                <w:b w:val="false"/>
                <w:bCs w:val="false"/>
                <w:i w:val="false"/>
                <w:iCs w:val="false"/>
                <w:color w:val="2B2B2B"/>
                <w:sz w:val="21"/>
                <w:szCs w:val="21"/>
              </w:rPr>
              <w:t xml:space="preserve">Oracle and SQL Server recovery: image sets, consistency, restore order, validation.</w:t>
            </w:r>
          </w:p>
          <w:p>
            <w:pPr>
              <w:spacing w:after="40"/>
            </w:pPr>
            <w:r>
              <w:rPr>
                <w:rFonts w:ascii="Calibri" w:cs="Calibri" w:eastAsia="Calibri" w:hAnsi="Calibri"/>
                <w:b/>
                <w:bCs/>
                <w:i w:val="false"/>
                <w:iCs w:val="false"/>
                <w:color w:val="2B2B2B"/>
                <w:sz w:val="21"/>
                <w:szCs w:val="21"/>
              </w:rPr>
              <w:t xml:space="preserve">What you know</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ORA-FIN-01 and ORA-FIN-02 (Oracle Database 19c, 6.8 TB) back the departmental finance application. RMAN backups run nightly through the enterprise backup platform.</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SQL-DEPT-03 (1.2 TB) is protected by MABS with 15-minute log backups.</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The last recorded restore test anywhere in the estate was 14 months ago, on an Azure Files share.</w:t>
            </w:r>
          </w:p>
          <w:p>
            <w:pPr>
              <w:spacing w:after="40" w:before="60"/>
            </w:pPr>
            <w:r>
              <w:rPr>
                <w:rFonts w:ascii="Calibri" w:cs="Calibri" w:eastAsia="Calibri" w:hAnsi="Calibri"/>
                <w:b/>
                <w:bCs/>
                <w:i w:val="false"/>
                <w:iCs w:val="false"/>
                <w:color w:val="2B2B2B"/>
                <w:sz w:val="21"/>
                <w:szCs w:val="21"/>
              </w:rPr>
              <w:t xml:space="preserve">Questions you own</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1: Where is the only copy of the Oracle images, and who can delete it?</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2: Which recovery points can we still trust, given when the attacker got in?</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3: How do we prove a restored database is clean and consistent before anyone uses it?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E6F2E6" w:sz="0"/>
              <w:left w:val="single" w:color="7A0019" w:sz="24"/>
              <w:bottom w:val="none" w:color="E6F2E6" w:sz="0"/>
              <w:right w:val="none" w:color="E6F2E6" w:sz="0"/>
            </w:tcBorders>
            <w:shd w:fill="E6F2E6"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Security and Communications Liaison</w:t>
            </w:r>
          </w:p>
          <w:p>
            <w:pPr>
              <w:spacing w:after="80"/>
            </w:pPr>
            <w:r>
              <w:rPr>
                <w:rFonts w:ascii="Calibri" w:cs="Calibri" w:eastAsia="Calibri" w:hAnsi="Calibri"/>
                <w:b/>
                <w:bCs/>
                <w:i w:val="false"/>
                <w:iCs w:val="false"/>
                <w:color w:val="7A0019"/>
                <w:sz w:val="21"/>
                <w:szCs w:val="21"/>
              </w:rPr>
              <w:t xml:space="preserve">You own: </w:t>
            </w:r>
            <w:r>
              <w:rPr>
                <w:rFonts w:ascii="Calibri" w:cs="Calibri" w:eastAsia="Calibri" w:hAnsi="Calibri"/>
                <w:b w:val="false"/>
                <w:bCs w:val="false"/>
                <w:i w:val="false"/>
                <w:iCs w:val="false"/>
                <w:color w:val="2B2B2B"/>
                <w:sz w:val="21"/>
                <w:szCs w:val="21"/>
              </w:rPr>
              <w:t xml:space="preserve">Identity assumptions, alert routing, least privilege, and the briefing to leadership.</w:t>
            </w:r>
          </w:p>
          <w:p>
            <w:pPr>
              <w:spacing w:after="40"/>
            </w:pPr>
            <w:r>
              <w:rPr>
                <w:rFonts w:ascii="Calibri" w:cs="Calibri" w:eastAsia="Calibri" w:hAnsi="Calibri"/>
                <w:b/>
                <w:bCs/>
                <w:i w:val="false"/>
                <w:iCs w:val="false"/>
                <w:color w:val="2B2B2B"/>
                <w:sz w:val="21"/>
                <w:szCs w:val="21"/>
              </w:rPr>
              <w:t xml:space="preserve">What you know</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Six principals hold Owner at subscription scope, including adm-stor-07 (a storage administrator's privileged account) and svc-bkp-automation (a service principal). MFA is enforced for users. Privileged Identity Management is not in use.</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Azure Backup raises security alerts (Sev 0) for deleting backup data and disabling soft delete, and those alerts cannot be switched off. Where they go is up to us.</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Leadership has asked IT to be able to say 'we offer immutable data protection' with confidence.</w:t>
            </w:r>
          </w:p>
          <w:p>
            <w:pPr>
              <w:spacing w:after="40" w:before="60"/>
            </w:pPr>
            <w:r>
              <w:rPr>
                <w:rFonts w:ascii="Calibri" w:cs="Calibri" w:eastAsia="Calibri" w:hAnsi="Calibri"/>
                <w:b/>
                <w:bCs/>
                <w:i w:val="false"/>
                <w:iCs w:val="false"/>
                <w:color w:val="2B2B2B"/>
                <w:sz w:val="21"/>
                <w:szCs w:val="21"/>
              </w:rPr>
              <w:t xml:space="preserve">Questions you own</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1: If one Owner account is stolen, what can it reach, and what should sit outside its reach?</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2: Who gets woken up at 02:14, by what, and what are the first three calls?</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Move 3: What can we honestly tell the vice president, and what should we never promise?</w:t>
            </w:r>
          </w:p>
        </w:tc>
      </w:tr>
    </w:tbl>
    <w:p>
      <w:pPr>
        <w:spacing w:after="120"/>
      </w:pPr>
    </w:p>
    <w:p>
      <w:r>
        <w:br w:type="page"/>
      </w:r>
    </w:p>
    <w:p>
      <w:pPr>
        <w:pStyle w:val="Heading1"/>
        <w:keepNext/>
        <w:spacing w:after="160" w:before="360"/>
      </w:pPr>
      <w:r>
        <w:rPr>
          <w:rFonts w:ascii="Calibri" w:cs="Calibri" w:eastAsia="Calibri" w:hAnsi="Calibri"/>
          <w:b/>
          <w:bCs/>
          <w:color w:val="7A0019"/>
          <w:sz w:val="36"/>
          <w:szCs w:val="36"/>
        </w:rPr>
        <w:t xml:space="preserve">4. Controls Menu</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Sixteen controls, each described in plain language with its cost in Protection Credits and where it applies. Your budget is 12 credits. Three pairs overlap: choosing B makes A unnecessary, choosing E makes D unnecessary, and choosing I makes H unnecessary. Nothing on this page tells you which attack a control stops. That is the game.</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504"/>
        <w:gridCol w:w="2218"/>
        <w:gridCol w:w="806"/>
        <w:gridCol w:w="2016"/>
        <w:gridCol w:w="4536"/>
      </w:tblGrid>
      <w:tr>
        <w:trPr>
          <w:tblHeader/>
        </w:trPr>
        <w:tc>
          <w:tcPr>
            <w:tcW w:type="dxa" w:w="504"/>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ID</w:t>
            </w:r>
          </w:p>
        </w:tc>
        <w:tc>
          <w:tcPr>
            <w:tcW w:type="dxa" w:w="221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Control</w:t>
            </w:r>
          </w:p>
        </w:tc>
        <w:tc>
          <w:tcPr>
            <w:tcW w:type="dxa" w:w="80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Credits</w:t>
            </w:r>
          </w:p>
        </w:tc>
        <w:tc>
          <w:tcPr>
            <w:tcW w:type="dxa" w:w="201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Applies to</w:t>
            </w:r>
          </w:p>
        </w:tc>
        <w:tc>
          <w:tcPr>
            <w:tcW w:type="dxa" w:w="453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What it does, in plain language</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A</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Immutable vault, Enabled</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Recovery Services vaults and Backup vaults</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The vault refuses operations that would lose recovery points: deleting backup data, shortening retention. An administrator can still switch the setting off.</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Immutable vault, Locked</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2</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Recovery Services vaults and Backup vaults</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The same refusals, and nobody can switch the setting off, ever. Backups move to WORM-backed storage where it is available. Plan your clean-up tasks before you lock, because locking is permanent. Choosing B makes A unnecessary.</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C</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Enhanced soft delete, always-on</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Recovery Services vaults and Backup vaults</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Deleted backup data is kept for a retention you choose between 14 and 180 days, and the setting cannot be turned off once enabled. The first 14 days cost nothing; extra days are billed as backup storage.</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D</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Multi-user authorization, Resource Guard in the same subscription</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Recovery Services vaults and Backup vaults</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Critical operations on the vault need a second authorization from whoever owns the Resource Guard. The Resource Guard must be in the same region as the vault.</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E</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Multi-user authorization, Resource Guard in a separate subscription or tenant owned by a different team</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2</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Recovery Services vaults and Backup vaults</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The same second authorization, but the gatekeeper lives where the vault administrator has no rights at all. Same region as the vault. Choosing E makes D unnecessary.</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F</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Security alerts routed to an on-call channel</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All vaults</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The built-in Azure Monitor alerts for deleting backup data and disabling soft delete are routed through an action group to a channel that is watched around the clock: a paging service, a phone, or an on-call rotation.</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G</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Least privilege with just-in-time elevation</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Subscriptions and vaults</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Backup Reader and Backup Operator for daily work. Backup Contributor and Owner only when elevated through Privileged Identity Management, for a limited time, with an approval trail.</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H</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Time-based immutability policy on the backup-image container, unlocked</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Blob containers holding Oracle and third-party backup images</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Blobs cannot be deleted or overwritten during the retention interval. The policy itself can still be shortened or removed.</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I</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Time-based immutability policy on the backup-image container, locked</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2</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Blob containers holding Oracle and third-party backup images</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The policy cannot be removed and the interval can only be extended. With blob versioning this becomes version-level WORM. Choosing I makes H unnecessary.</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J</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Blob versioning plus container soft delete on the backup-image account</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Blob storage accounts</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Deleted or overwritten blobs and deleted containers can be recovered within the soft delete window you set.</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K</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Geo-redundant backup storage with cross-region restore</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2</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Recovery Services vaults (set before the first item is protected)</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The vault keeps a copy of backup data in the paired region, and cross-region restore lets you restore from that copy without waiting for a disaster declaration.</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L</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Vaulted backup for the Blob and Data Lake accounts</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Backup vault</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A scheduled offsite copy in a Backup vault for the accounts that today have only operational backup or no backup at all. Immutable vault settings apply to this vaulted copy.</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M</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Passphrase custody in Azure Key Vault</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MARS and MABS</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The encryption passphrases live in Azure Key Vault with documented access and rotation, never on the servers they protect. Microsoft cannot recover a lost passphrase.</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N</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Scheduled restore tests to an alternate location</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Every workload class</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Restore tests on a schedule, always to an isolated location, with data integrity and application function checked and the results recorded as evidence.</w:t>
            </w:r>
          </w:p>
        </w:tc>
      </w:tr>
      <w:tr>
        <w:trPr>
          <w:cantSplit/>
        </w:trPr>
        <w:tc>
          <w:tcPr>
            <w:tcW w:type="dxa" w:w="50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O</w:t>
            </w:r>
          </w:p>
        </w:tc>
        <w:tc>
          <w:tcPr>
            <w:tcW w:type="dxa" w:w="221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Azure Policy guardrails</w:t>
            </w:r>
          </w:p>
        </w:tc>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1</w:t>
            </w:r>
          </w:p>
        </w:tc>
        <w:tc>
          <w:tcPr>
            <w:tcW w:type="dxa" w:w="201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Subscriptions</w:t>
            </w:r>
          </w:p>
        </w:tc>
        <w:tc>
          <w:tcPr>
            <w:tcW w:type="dxa" w:w="453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Policies that require backup, immutability, and soft delete on new vaults and storage accounts, so protection does not depend on someone remembering.</w:t>
            </w:r>
          </w:p>
        </w:tc>
      </w:tr>
      <w:tr>
        <w:trPr>
          <w:cantSplit/>
        </w:trPr>
        <w:tc>
          <w:tcPr>
            <w:tcW w:type="dxa" w:w="504"/>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P</w:t>
            </w:r>
          </w:p>
        </w:tc>
        <w:tc>
          <w:tcPr>
            <w:tcW w:type="dxa" w:w="221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Offline recovery kit</w:t>
            </w:r>
          </w:p>
        </w:tc>
        <w:tc>
          <w:tcPr>
            <w:tcW w:type="dxa" w:w="80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0</w:t>
            </w:r>
          </w:p>
        </w:tc>
        <w:tc>
          <w:tcPr>
            <w:tcW w:type="dxa" w:w="201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Everything</w:t>
            </w:r>
          </w:p>
        </w:tc>
        <w:tc>
          <w:tcPr>
            <w:tcW w:type="dxa" w:w="4536"/>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8"/>
                <w:szCs w:val="18"/>
              </w:rPr>
              <w:t xml:space="preserve">A printed runbook, a contact tree, and a sealed passphrase envelope kept outside the data center. Costs time, not money.</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val="off"/>
        </w:trPr>
        <w:tc>
          <w:tcPr>
            <w:tcW w:type="dxa" w:w="10080"/>
            <w:tcBorders>
              <w:top w:val="none" w:color="FFF4CC" w:sz="0"/>
              <w:left w:val="single" w:color="7A0019" w:sz="24"/>
              <w:bottom w:val="none" w:color="FFF4CC" w:sz="0"/>
              <w:right w:val="none" w:color="FFF4CC" w:sz="0"/>
            </w:tcBorders>
            <w:shd w:fill="FFF4CC"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Reading the menu</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Vault settings (A to G) protect everything inside that vault. One decision, many protected items.</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Container and account settings (H to J) protect blobs that live in your own storage accounts, such as the Oracle images written by the enterprise backup platform.</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K, L, N, and O change what copies exist and how you prove they work. M and P are about the one thing no control can replace.</w:t>
            </w:r>
          </w:p>
        </w:tc>
      </w:tr>
    </w:tbl>
    <w:p>
      <w:r>
        <w:br w:type="page"/>
      </w:r>
    </w:p>
    <w:p>
      <w:pPr>
        <w:pStyle w:val="Heading1"/>
        <w:keepNext/>
        <w:spacing w:after="160" w:before="360"/>
      </w:pPr>
      <w:r>
        <w:rPr>
          <w:rFonts w:ascii="Calibri" w:cs="Calibri" w:eastAsia="Calibri" w:hAnsi="Calibri"/>
          <w:b/>
          <w:bCs/>
          <w:color w:val="7A0019"/>
          <w:sz w:val="36"/>
          <w:szCs w:val="36"/>
        </w:rPr>
        <w:t xml:space="preserve">5. Move 1 worksheet: Fortify</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Twelve minutes. Spend up to 12 credits. For each control, write where it applies (which vault, account, or server) and one line of why. Commit the design before the attack starts; it cannot change afterward. Your spokesperson reads it aloud at the end of the move.</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1613"/>
        <w:gridCol w:w="2621"/>
        <w:gridCol w:w="4637"/>
        <w:gridCol w:w="1210"/>
      </w:tblGrid>
      <w:tr>
        <w:trPr>
          <w:tblHeader/>
        </w:trPr>
        <w:tc>
          <w:tcPr>
            <w:tcW w:type="dxa" w:w="1613"/>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Control (letter)</w:t>
            </w:r>
          </w:p>
        </w:tc>
        <w:tc>
          <w:tcPr>
            <w:tcW w:type="dxa" w:w="262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Where it applies</w:t>
            </w:r>
          </w:p>
        </w:tc>
        <w:tc>
          <w:tcPr>
            <w:tcW w:type="dxa" w:w="4637"/>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Why (one line)</w:t>
            </w:r>
          </w:p>
        </w:tc>
        <w:tc>
          <w:tcPr>
            <w:tcW w:type="dxa" w:w="121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Credits</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63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bl>
    <w:p>
      <w:pPr>
        <w:spacing w:after="60"/>
      </w:pP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3427"/>
        <w:gridCol w:w="3326"/>
        <w:gridCol w:w="3326"/>
      </w:tblGrid>
      <w:tr>
        <w:trPr>
          <w:tblHeader/>
        </w:trPr>
        <w:tc>
          <w:tcPr>
            <w:tcW w:type="dxa" w:w="3427"/>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Total credits spent (12 or fewer)</w:t>
            </w:r>
          </w:p>
        </w:tc>
        <w:tc>
          <w:tcPr>
            <w:tcW w:type="dxa" w:w="332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Direction 1 covered? (H, I, J, M, P)</w:t>
            </w:r>
          </w:p>
        </w:tc>
        <w:tc>
          <w:tcPr>
            <w:tcW w:type="dxa" w:w="332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Direction 2 covered? (A, B, C, D, E, L)</w:t>
            </w:r>
          </w:p>
        </w:tc>
      </w:tr>
      <w:tr>
        <w:trPr>
          <w:cantSplit/>
        </w:trPr>
        <w:tc>
          <w:tcPr>
            <w:tcW w:type="dxa" w:w="3427"/>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332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332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bl>
    <w:p>
      <w:pPr>
        <w:spacing w:after="80"/>
      </w:pPr>
    </w:p>
    <w:p>
      <w:pPr>
        <w:keepNext w:val="false"/>
        <w:spacing w:after="120" w:before="0" w:line="276"/>
        <w:jc w:val="left"/>
      </w:pPr>
      <w:r>
        <w:rPr>
          <w:rFonts w:ascii="Calibri" w:cs="Calibri" w:eastAsia="Calibri" w:hAnsi="Calibri"/>
          <w:b/>
          <w:bCs/>
          <w:i w:val="false"/>
          <w:iCs w:val="false"/>
          <w:color w:val="7A0019"/>
          <w:sz w:val="22"/>
          <w:szCs w:val="22"/>
        </w:rPr>
        <w:t xml:space="preserve">What we chose not to buy, and why: </w:t>
      </w:r>
      <w:r>
        <w:rPr>
          <w:rFonts w:ascii="Calibri" w:cs="Calibri" w:eastAsia="Calibri" w:hAnsi="Calibri"/>
          <w:b w:val="false"/>
          <w:bCs w:val="false"/>
          <w:i w:val="false"/>
          <w:iCs w:val="false"/>
          <w:color w:val="2B2B2B"/>
          <w:sz w:val="22"/>
          <w:szCs w:val="22"/>
        </w:rPr>
        <w:t xml:space="preserve"/>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keepNext w:val="false"/>
        <w:spacing w:after="120" w:before="0" w:line="276"/>
        <w:jc w:val="left"/>
      </w:pPr>
      <w:r>
        <w:rPr>
          <w:rFonts w:ascii="Calibri" w:cs="Calibri" w:eastAsia="Calibri" w:hAnsi="Calibri"/>
          <w:b/>
          <w:bCs/>
          <w:i w:val="false"/>
          <w:iCs w:val="false"/>
          <w:color w:val="7A0019"/>
          <w:sz w:val="22"/>
          <w:szCs w:val="22"/>
        </w:rPr>
        <w:t xml:space="preserve">The one thing we would tell leadership we cannot promise yet: </w:t>
      </w:r>
      <w:r>
        <w:rPr>
          <w:rFonts w:ascii="Calibri" w:cs="Calibri" w:eastAsia="Calibri" w:hAnsi="Calibri"/>
          <w:b w:val="false"/>
          <w:bCs w:val="false"/>
          <w:i w:val="false"/>
          <w:iCs w:val="false"/>
          <w:color w:val="2B2B2B"/>
          <w:sz w:val="22"/>
          <w:szCs w:val="22"/>
        </w:rPr>
        <w:t xml:space="preserve"/>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val="off"/>
        </w:trPr>
        <w:tc>
          <w:tcPr>
            <w:tcW w:type="dxa" w:w="10080"/>
            <w:tcBorders>
              <w:top w:val="none" w:color="E8EEF7" w:sz="0"/>
              <w:left w:val="single" w:color="7A0019" w:sz="24"/>
              <w:bottom w:val="none" w:color="E8EEF7" w:sz="0"/>
              <w:right w:val="none" w:color="E8EEF7" w:sz="0"/>
            </w:tcBorders>
            <w:shd w:fill="E8EEF7"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Before you commit</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Did you ask, for each control, whether the stolen account could switch it off?</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Did you look at both directions: the copies coming from campus and the workloads already in Azure?</w:t>
            </w:r>
          </w:p>
          <w:p>
            <w:pPr>
              <w:pStyle w:val="ListParagraph"/>
              <w:numPr>
                <w:ilvl w:val="0"/>
                <w:numId w:val="2"/>
              </w:numPr>
              <w:spacing w:after="40" w:line="252"/>
            </w:pPr>
            <w:r>
              <w:rPr>
                <w:rFonts w:ascii="Calibri" w:cs="Calibri" w:eastAsia="Calibri" w:hAnsi="Calibri"/>
                <w:b w:val="false"/>
                <w:bCs w:val="false"/>
                <w:i w:val="false"/>
                <w:iCs w:val="false"/>
                <w:color w:val="2B2B2B"/>
                <w:sz w:val="21"/>
                <w:szCs w:val="21"/>
              </w:rPr>
              <w:t xml:space="preserve">Is there a copy that lives entirely outside the attacker's reach?</w:t>
            </w:r>
          </w:p>
        </w:tc>
      </w:tr>
    </w:tbl>
    <w:p>
      <w:r>
        <w:br w:type="page"/>
      </w:r>
    </w:p>
    <w:p>
      <w:pPr>
        <w:pStyle w:val="Heading1"/>
        <w:keepNext/>
        <w:spacing w:after="160" w:before="360"/>
      </w:pPr>
      <w:r>
        <w:rPr>
          <w:rFonts w:ascii="Calibri" w:cs="Calibri" w:eastAsia="Calibri" w:hAnsi="Calibri"/>
          <w:b/>
          <w:bCs/>
          <w:color w:val="7A0019"/>
          <w:sz w:val="36"/>
          <w:szCs w:val="36"/>
        </w:rPr>
        <w:t xml:space="preserve">6. Move 2 worksheet: Hold the line</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The facilitator reveals six attacker moves, one at a time. For each, your spokesperson declares the control you are relying on, whether it holds fully, holds for a while, or does not hold, and one sentence of why. Record the declaration here before the facilitator scores it. Use the Field Guide; use a lifeline if you need one.</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806"/>
        <w:gridCol w:w="1613"/>
        <w:gridCol w:w="2016"/>
        <w:gridCol w:w="4435"/>
        <w:gridCol w:w="1210"/>
      </w:tblGrid>
      <w:tr>
        <w:trPr>
          <w:tblHeader/>
        </w:trPr>
        <w:tc>
          <w:tcPr>
            <w:tcW w:type="dxa" w:w="80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Card</w:t>
            </w:r>
          </w:p>
        </w:tc>
        <w:tc>
          <w:tcPr>
            <w:tcW w:type="dxa" w:w="1613"/>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Our control (letter)</w:t>
            </w:r>
          </w:p>
        </w:tc>
        <w:tc>
          <w:tcPr>
            <w:tcW w:type="dxa" w:w="2016"/>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Holds? (fully / for a while / no)</w:t>
            </w:r>
          </w:p>
        </w:tc>
        <w:tc>
          <w:tcPr>
            <w:tcW w:type="dxa" w:w="4435"/>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Why</w:t>
            </w:r>
          </w:p>
        </w:tc>
        <w:tc>
          <w:tcPr>
            <w:tcW w:type="dxa" w:w="1210"/>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Points</w:t>
            </w:r>
          </w:p>
        </w:tc>
      </w:tr>
      <w:tr>
        <w:trPr>
          <w:cantSplit/>
        </w:trPr>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1</w:t>
            </w:r>
          </w:p>
        </w:tc>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01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435"/>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2</w:t>
            </w:r>
          </w:p>
        </w:tc>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01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435"/>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3</w:t>
            </w:r>
          </w:p>
        </w:tc>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01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435"/>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4</w:t>
            </w:r>
          </w:p>
        </w:tc>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01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435"/>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5</w:t>
            </w:r>
          </w:p>
        </w:tc>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01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435"/>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806"/>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6</w:t>
            </w:r>
          </w:p>
        </w:tc>
        <w:tc>
          <w:tcPr>
            <w:tcW w:type="dxa" w:w="161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016"/>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4435"/>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210"/>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bl>
    <w:p>
      <w:pPr>
        <w:spacing w:after="80"/>
      </w:pPr>
    </w:p>
    <w:p>
      <w:pPr>
        <w:pStyle w:val="Heading2"/>
        <w:keepNext/>
        <w:spacing w:after="120" w:before="280"/>
      </w:pPr>
      <w:r>
        <w:rPr>
          <w:rFonts w:ascii="Calibri" w:cs="Calibri" w:eastAsia="Calibri" w:hAnsi="Calibri"/>
          <w:b/>
          <w:bCs/>
          <w:color w:val="7A0019"/>
          <w:sz w:val="28"/>
          <w:szCs w:val="28"/>
        </w:rPr>
        <w:t xml:space="preserve">What we want to know first</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When the situation report lands, write the two questions you most want answered. Keep them; Move 3 will test whether you got your answers.</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pStyle w:val="Heading2"/>
        <w:keepNext/>
        <w:spacing w:after="120" w:before="280"/>
      </w:pPr>
      <w:r>
        <w:rPr>
          <w:rFonts w:ascii="Calibri" w:cs="Calibri" w:eastAsia="Calibri" w:hAnsi="Calibri"/>
          <w:b/>
          <w:bCs/>
          <w:color w:val="7A0019"/>
          <w:sz w:val="28"/>
          <w:szCs w:val="28"/>
        </w:rPr>
        <w:t xml:space="preserve">The first hour</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Five things your team does in the first hour after the incident is declared, in order. Think about containing, preserving evidence, getting help, protecting the copies that still exist, and talking to people over a channel the attacker cannot read.</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605"/>
        <w:gridCol w:w="6451"/>
        <w:gridCol w:w="3024"/>
      </w:tblGrid>
      <w:tr>
        <w:trPr>
          <w:tblHeader/>
        </w:trPr>
        <w:tc>
          <w:tcPr>
            <w:tcW w:type="dxa" w:w="605"/>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t>
            </w:r>
          </w:p>
        </w:tc>
        <w:tc>
          <w:tcPr>
            <w:tcW w:type="dxa" w:w="645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Action</w:t>
            </w:r>
          </w:p>
        </w:tc>
        <w:tc>
          <w:tcPr>
            <w:tcW w:type="dxa" w:w="3024"/>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Who does it</w:t>
            </w:r>
          </w:p>
        </w:tc>
      </w:tr>
      <w:tr>
        <w:trPr>
          <w:cantSplit/>
        </w:trPr>
        <w:tc>
          <w:tcPr>
            <w:tcW w:type="dxa" w:w="605"/>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1</w:t>
            </w:r>
          </w:p>
        </w:tc>
        <w:tc>
          <w:tcPr>
            <w:tcW w:type="dxa" w:w="645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3024"/>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605"/>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2</w:t>
            </w:r>
          </w:p>
        </w:tc>
        <w:tc>
          <w:tcPr>
            <w:tcW w:type="dxa" w:w="645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3024"/>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605"/>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3</w:t>
            </w:r>
          </w:p>
        </w:tc>
        <w:tc>
          <w:tcPr>
            <w:tcW w:type="dxa" w:w="645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3024"/>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605"/>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4</w:t>
            </w:r>
          </w:p>
        </w:tc>
        <w:tc>
          <w:tcPr>
            <w:tcW w:type="dxa" w:w="645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3024"/>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605"/>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5</w:t>
            </w:r>
          </w:p>
        </w:tc>
        <w:tc>
          <w:tcPr>
            <w:tcW w:type="dxa" w:w="645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3024"/>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bl>
    <w:p>
      <w:r>
        <w:br w:type="page"/>
      </w:r>
    </w:p>
    <w:p>
      <w:pPr>
        <w:pStyle w:val="Heading1"/>
        <w:keepNext/>
        <w:spacing w:after="160" w:before="360"/>
      </w:pPr>
      <w:r>
        <w:rPr>
          <w:rFonts w:ascii="Calibri" w:cs="Calibri" w:eastAsia="Calibri" w:hAnsi="Calibri"/>
          <w:b/>
          <w:bCs/>
          <w:color w:val="7A0019"/>
          <w:sz w:val="36"/>
          <w:szCs w:val="36"/>
        </w:rPr>
        <w:t xml:space="preserve">7. Move 3 worksheet: Recover</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Twelve minutes. The vice president has asked three things: can we recover, by when, and do we pay. Your plan answers the first two and prepares the options for the third. The facilitator scores six criteria; the prompts below are the criteria in question form.</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3427"/>
        <w:gridCol w:w="6653"/>
      </w:tblGrid>
      <w:tr>
        <w:trPr>
          <w:tblHeader/>
        </w:trPr>
        <w:tc>
          <w:tcPr>
            <w:tcW w:type="dxa" w:w="3427"/>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Prompt</w:t>
            </w:r>
          </w:p>
        </w:tc>
        <w:tc>
          <w:tcPr>
            <w:tcW w:type="dxa" w:w="6653"/>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Our plan</w:t>
            </w:r>
          </w:p>
        </w:tc>
      </w:tr>
      <w:tr>
        <w:trPr>
          <w:cantSplit/>
        </w:trPr>
        <w:tc>
          <w:tcPr>
            <w:tcW w:type="dxa" w:w="3427"/>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Restore order. What comes back first, second, third, and why that order?</w:t>
            </w:r>
          </w:p>
        </w:tc>
        <w:tc>
          <w:tcPr>
            <w:tcW w:type="dxa" w:w="665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3427"/>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Clean point in time. Which recovery points do we trust, given when the attacker got in, and how do we check them before we use them?</w:t>
            </w:r>
          </w:p>
        </w:tc>
        <w:tc>
          <w:tcPr>
            <w:tcW w:type="dxa" w:w="665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3427"/>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Where and how. Where do we restore to, and how do we prove the data is intact and the application works before anyone uses it?</w:t>
            </w:r>
          </w:p>
        </w:tc>
        <w:tc>
          <w:tcPr>
            <w:tcW w:type="dxa" w:w="665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3427"/>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What still exists. Which copies survived, which are on a clock, and what do we do about each in the next 24 hours?</w:t>
            </w:r>
          </w:p>
        </w:tc>
        <w:tc>
          <w:tcPr>
            <w:tcW w:type="dxa" w:w="665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3427"/>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Communications and help. Who do we call, over what channel, and what do we tell leadership about recovery time and data loss?</w:t>
            </w:r>
          </w:p>
        </w:tc>
        <w:tc>
          <w:tcPr>
            <w:tcW w:type="dxa" w:w="665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3427"/>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Cost and time. What makes this restore expensive or slow, and how do we sequence it to limit both?</w:t>
            </w:r>
          </w:p>
        </w:tc>
        <w:tc>
          <w:tcPr>
            <w:tcW w:type="dxa" w:w="6653"/>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tc>
      </w:tr>
    </w:tbl>
    <w:p>
      <w:pPr>
        <w:spacing w:after="80"/>
      </w:pPr>
    </w:p>
    <w:p>
      <w:pPr>
        <w:pStyle w:val="Heading2"/>
        <w:keepNext/>
        <w:spacing w:after="120" w:before="280"/>
      </w:pPr>
      <w:r>
        <w:rPr>
          <w:rFonts w:ascii="Calibri" w:cs="Calibri" w:eastAsia="Calibri" w:hAnsi="Calibri"/>
          <w:b/>
          <w:bCs/>
          <w:color w:val="7A0019"/>
          <w:sz w:val="28"/>
          <w:szCs w:val="28"/>
        </w:rPr>
        <w:t xml:space="preserve">The twist</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The facilitator will hand you one more card partway through. Record your answer here.</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pStyle w:val="Heading2"/>
        <w:keepNext/>
        <w:spacing w:after="120" w:before="280"/>
      </w:pPr>
      <w:r>
        <w:rPr>
          <w:rFonts w:ascii="Calibri" w:cs="Calibri" w:eastAsia="Calibri" w:hAnsi="Calibri"/>
          <w:b/>
          <w:bCs/>
          <w:color w:val="7A0019"/>
          <w:sz w:val="28"/>
          <w:szCs w:val="28"/>
        </w:rPr>
        <w:t xml:space="preserve">Next time</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Three changes you would make on Monday so this never plays out the same way again.</w:t>
      </w:r>
    </w:p>
    <w:p>
      <w:pPr>
        <w:pStyle w:val="ListParagraph"/>
        <w:numPr>
          <w:ilvl w:val="0"/>
          <w:numId w:val="3"/>
        </w:numPr>
        <w:spacing w:after="60" w:line="264"/>
      </w:pPr>
      <w:r>
        <w:rPr>
          <w:rFonts w:ascii="Calibri" w:cs="Calibri" w:eastAsia="Calibri" w:hAnsi="Calibri"/>
          <w:b w:val="false"/>
          <w:bCs w:val="false"/>
          <w:i w:val="false"/>
          <w:iCs w:val="false"/>
          <w:color w:val="2B2B2B"/>
          <w:sz w:val="22"/>
          <w:szCs w:val="22"/>
        </w:rPr>
        <w:t xml:space="preserve"/>
      </w:r>
    </w:p>
    <w:p>
      <w:pPr>
        <w:pStyle w:val="ListParagraph"/>
        <w:numPr>
          <w:ilvl w:val="0"/>
          <w:numId w:val="3"/>
        </w:numPr>
        <w:spacing w:after="60" w:line="264"/>
      </w:pPr>
      <w:r>
        <w:rPr>
          <w:rFonts w:ascii="Calibri" w:cs="Calibri" w:eastAsia="Calibri" w:hAnsi="Calibri"/>
          <w:b w:val="false"/>
          <w:bCs w:val="false"/>
          <w:i w:val="false"/>
          <w:iCs w:val="false"/>
          <w:color w:val="2B2B2B"/>
          <w:sz w:val="22"/>
          <w:szCs w:val="22"/>
        </w:rPr>
        <w:t xml:space="preserve"/>
      </w:r>
    </w:p>
    <w:p>
      <w:pPr>
        <w:pStyle w:val="ListParagraph"/>
        <w:numPr>
          <w:ilvl w:val="0"/>
          <w:numId w:val="3"/>
        </w:numPr>
        <w:spacing w:after="60" w:line="264"/>
      </w:pPr>
      <w:r>
        <w:rPr>
          <w:rFonts w:ascii="Calibri" w:cs="Calibri" w:eastAsia="Calibri" w:hAnsi="Calibri"/>
          <w:b w:val="false"/>
          <w:bCs w:val="false"/>
          <w:i w:val="false"/>
          <w:iCs w:val="false"/>
          <w:color w:val="2B2B2B"/>
          <w:sz w:val="22"/>
          <w:szCs w:val="22"/>
        </w:rPr>
        <w:t xml:space="preserve"/>
      </w:r>
    </w:p>
    <w:p>
      <w:r>
        <w:br w:type="page"/>
      </w:r>
    </w:p>
    <w:p>
      <w:pPr>
        <w:pStyle w:val="Heading1"/>
        <w:keepNext/>
        <w:spacing w:after="160" w:before="360"/>
      </w:pPr>
      <w:r>
        <w:rPr>
          <w:rFonts w:ascii="Calibri" w:cs="Calibri" w:eastAsia="Calibri" w:hAnsi="Calibri"/>
          <w:b/>
          <w:bCs/>
          <w:color w:val="7A0019"/>
          <w:sz w:val="36"/>
          <w:szCs w:val="36"/>
        </w:rPr>
        <w:t xml:space="preserve">8. Field Guide</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Plain-language definitions of every term you will hear today, grouped the way you will need them. Nothing here ranks a control or tells you which attack it stops. Everything here is yours to use at any time.</w:t>
      </w:r>
    </w:p>
    <w:p>
      <w:pPr>
        <w:pStyle w:val="Heading2"/>
        <w:keepNext/>
        <w:spacing w:after="120" w:before="280"/>
      </w:pPr>
      <w:r>
        <w:rPr>
          <w:rFonts w:ascii="Calibri" w:cs="Calibri" w:eastAsia="Calibri" w:hAnsi="Calibri"/>
          <w:b/>
          <w:bCs/>
          <w:color w:val="7A0019"/>
          <w:sz w:val="28"/>
          <w:szCs w:val="28"/>
        </w:rPr>
        <w:t xml:space="preserve">The basics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822"/>
        <w:gridCol w:w="7258"/>
      </w:tblGrid>
      <w:tr>
        <w:trPr>
          <w:tblHeader/>
        </w:trPr>
        <w:tc>
          <w:tcPr>
            <w:tcW w:type="dxa" w:w="2822"/>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Term</w:t>
            </w:r>
          </w:p>
        </w:tc>
        <w:tc>
          <w:tcPr>
            <w:tcW w:type="dxa" w:w="725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Meaning</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Ransomware</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Malicious software that encrypts or erases data and systems so that the attacker can demand payment. Human-operated ransomware is run by people who move through the network, often steal data first, and go after the backups before they encrypt anything.</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Recovery point</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One point-in-time copy of a protected item that you can restore from.</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Backup policy and retention</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schedule (how often) and the retention rules (how long daily, weekly, monthly, and yearly recovery points are kept before they expire).</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RPO and RTO</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Recovery point objective: how much data loss, measured in time, is acceptable. Recovery time objective: how long until the service is back.</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3-2-1 rule</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Three copies of the data, on two kinds of storage, with one copy offsite or offline. Microsoft Learn's ransomware guidance recommends it.</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Blast radius</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Everything a compromised account or system can reach. A copy "outside the blast radius" is one the attacker cannot touch.</w:t>
            </w:r>
          </w:p>
        </w:tc>
      </w:tr>
    </w:tbl>
    <w:p>
      <w:pPr>
        <w:pStyle w:val="Heading2"/>
        <w:keepNext/>
        <w:spacing w:after="120" w:before="280"/>
      </w:pPr>
      <w:r>
        <w:rPr>
          <w:rFonts w:ascii="Calibri" w:cs="Calibri" w:eastAsia="Calibri" w:hAnsi="Calibri"/>
          <w:b/>
          <w:bCs/>
          <w:color w:val="7A0019"/>
          <w:sz w:val="28"/>
          <w:szCs w:val="28"/>
        </w:rPr>
        <w:t xml:space="preserve">Vaults and copies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822"/>
        <w:gridCol w:w="7258"/>
      </w:tblGrid>
      <w:tr>
        <w:trPr>
          <w:tblHeader/>
        </w:trPr>
        <w:tc>
          <w:tcPr>
            <w:tcW w:type="dxa" w:w="2822"/>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Term</w:t>
            </w:r>
          </w:p>
        </w:tc>
        <w:tc>
          <w:tcPr>
            <w:tcW w:type="dxa" w:w="725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Meaning</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Recovery Services vault</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vault for established workloads: Azure VMs, SQL Server and SAP HANA in Azure VMs, Azure Files, and on-premises servers through MARS, MABS, and DPM.</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Backup vault</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vault for newer workloads: Azure Blob (operational and vaulted), Data Lake Storage, managed disks, PostgreSQL flexible server, Kubernetes, Elastic SAN.</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Vaulted backup</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 copy stored in the vault, in a Microsoft-managed subscription and tenant, isolated from your environment.</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Operational backup</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Protection that lives in your own storage account (point-in-time restore, soft delete, versioning, change feed) and is governed by storage-level settings, not vault settings. Hierarchical namespace accounts do not support it.</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Backup storage redundancy (LRS, ZRS, GRS)</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How many copies the vault keeps and where: one location, across zones, or across a paired region. Set before the first item is protected.</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Cross-region restore</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On a GRS vault, the option to restore from the paired region without waiting for Microsoft to declare a disaster.</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Paired region</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second Azure region matched with the first for replication. Central US pairs with East US 2.</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MARS agent</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Microsoft Azure Recovery Services agent, which backs up Windows files, folders, volumes, and system state to a Recovery Services vault.</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MABS</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Microsoft Azure Backup Server, which protects applications such as SQL Server, Exchange, SharePoint, Hyper-V, and VMware: to local disk first for fast restores, then to a vault for offsite retention.</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Passphrase</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encryption key you set for MARS and MABS before data leaves the server. Microsoft cannot recover it; without it, the backups cannot be restored.</w:t>
            </w:r>
          </w:p>
        </w:tc>
      </w:tr>
    </w:tbl>
    <w:p>
      <w:pPr>
        <w:pStyle w:val="Heading2"/>
        <w:keepNext/>
        <w:spacing w:after="120" w:before="280"/>
      </w:pPr>
      <w:r>
        <w:rPr>
          <w:rFonts w:ascii="Calibri" w:cs="Calibri" w:eastAsia="Calibri" w:hAnsi="Calibri"/>
          <w:b/>
          <w:bCs/>
          <w:color w:val="7A0019"/>
          <w:sz w:val="28"/>
          <w:szCs w:val="28"/>
        </w:rPr>
        <w:t xml:space="preserve">The vault controls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822"/>
        <w:gridCol w:w="7258"/>
      </w:tblGrid>
      <w:tr>
        <w:trPr>
          <w:tblHeader/>
        </w:trPr>
        <w:tc>
          <w:tcPr>
            <w:tcW w:type="dxa" w:w="2822"/>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Term</w:t>
            </w:r>
          </w:p>
        </w:tc>
        <w:tc>
          <w:tcPr>
            <w:tcW w:type="dxa" w:w="725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Meaning</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Immutable vault</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 vault setting that blocks operations that could lose recovery points, such as deleting backup data or reducing retention. Three states: Disabled; Enabled, which can be switched off again; Locked, which cannot be switched off by anyone. Applies to vaulted backups, not operational backups.</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WORM</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Write once, read many: storage that cannot be modified or deleted during its retention period.</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Soft delete</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Deleted backup data is kept for a period so it can be recovered. On by default; the first 14 days cost nothing.</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Enhanced soft delete</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Soft delete with a retention you choose between 14 and 180 days, and an always-on option that cannot be turned off once enabled.</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Multi-user authorization (MUA)</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Critical operations on a vault need an extra authorization that comes from the owner of a separate resource, the Resource Guard.</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Resource Guard</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Azure resource that gates critical vault operations. It must be in the same region as the vault; it can be in a different subscription or tenant, owned by a different team.</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Backup MUA Operator</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role, granted temporarily on the Resource Guard, that lets a backup administrator perform a protected operation.</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Built-in Azure Monitor alerts for Azure Backup</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Security alerts (Sev 0) for events such as deleting backup data or disabling soft delete, which cannot be turned off; job alerts (Sev 1) for backup and restore failures, which can.</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Action group</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Azure Monitor object that decides where an alert goes: email, SMS, voice call, a paging service, a webhook, or an automation.</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Backup Reader, Backup Operator, Backup Contributor</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Azure's built-in roles for backup: view only; run backups and restores without destructive changes; manage everything in the vault.</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Privileged Identity Management (PIM)</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Microsoft Entra feature for just-in-time, time-bound, approved elevation into privileged roles.</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Azure Policy</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Rules that audit or enforce configuration across subscriptions, such as requiring backup for every virtual machine.</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Resiliency in Azure</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management plane (formerly Azure Business Continuity Center) for creating and managing vaults, viewing protection status, and governing backups at scale.</w:t>
            </w:r>
          </w:p>
        </w:tc>
      </w:tr>
    </w:tbl>
    <w:p>
      <w:pPr>
        <w:pStyle w:val="Heading2"/>
        <w:keepNext/>
        <w:spacing w:after="120" w:before="280"/>
      </w:pPr>
      <w:r>
        <w:rPr>
          <w:rFonts w:ascii="Calibri" w:cs="Calibri" w:eastAsia="Calibri" w:hAnsi="Calibri"/>
          <w:b/>
          <w:bCs/>
          <w:color w:val="7A0019"/>
          <w:sz w:val="28"/>
          <w:szCs w:val="28"/>
        </w:rPr>
        <w:t xml:space="preserve">Blob immutability (storage-level)</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822"/>
        <w:gridCol w:w="7258"/>
      </w:tblGrid>
      <w:tr>
        <w:trPr>
          <w:tblHeader/>
        </w:trPr>
        <w:tc>
          <w:tcPr>
            <w:tcW w:type="dxa" w:w="2822"/>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Term</w:t>
            </w:r>
          </w:p>
        </w:tc>
        <w:tc>
          <w:tcPr>
            <w:tcW w:type="dxa" w:w="725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Meaning</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Immutable Blob storage</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Storage-level protection that keeps blobs in a WORM state. Two kinds of policy: time-based retention and legal hold.</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Time-based retention policy</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Blobs cannot be deleted or overwritten for a set interval. Unlocked: the policy can still be shortened or removed. Locked: the policy cannot be removed, and the interval can only be extended.</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Legal hold</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 tag that holds blobs until someone clears it; there is no fixed interval.</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Version-level immutability</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Immutability applied to each blob version; requires blob versioning. Backup platforms' object lock features map to it.</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Blob versioning</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Every overwrite creates a new version and keeps the old ones.</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Container soft delete and blob soft delete</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Storage-level settings that keep deleted containers and blobs for a window you set.</w:t>
            </w:r>
          </w:p>
        </w:tc>
      </w:tr>
    </w:tbl>
    <w:p>
      <w:pPr>
        <w:pStyle w:val="Heading2"/>
        <w:keepNext/>
        <w:spacing w:after="120" w:before="280"/>
      </w:pPr>
      <w:r>
        <w:rPr>
          <w:rFonts w:ascii="Calibri" w:cs="Calibri" w:eastAsia="Calibri" w:hAnsi="Calibri"/>
          <w:b/>
          <w:bCs/>
          <w:color w:val="7A0019"/>
          <w:sz w:val="28"/>
          <w:szCs w:val="28"/>
        </w:rPr>
        <w:t xml:space="preserve">Recovery words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2822"/>
        <w:gridCol w:w="7258"/>
      </w:tblGrid>
      <w:tr>
        <w:trPr>
          <w:tblHeader/>
        </w:trPr>
        <w:tc>
          <w:tcPr>
            <w:tcW w:type="dxa" w:w="2822"/>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Term</w:t>
            </w:r>
          </w:p>
        </w:tc>
        <w:tc>
          <w:tcPr>
            <w:tcW w:type="dxa" w:w="7258"/>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Meaning</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Isolated recovery environment (alternate location)</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 separate, clean place to restore into, so that an infected restore cannot harm production.</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Clean point in time</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 recovery point taken before the attacker could have tampered with or encrypted the data, chosen from the incident timeline and scanned before use.</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Out-of-band communication</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A channel the attacker cannot read. Assume email and chat may be compromised.</w:t>
            </w:r>
          </w:p>
        </w:tc>
      </w:tr>
      <w:tr>
        <w:trPr>
          <w:cantSplit/>
        </w:trPr>
        <w:tc>
          <w:tcPr>
            <w:tcW w:type="dxa" w:w="2822"/>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IC3</w:t>
            </w:r>
          </w:p>
        </w:tc>
        <w:tc>
          <w:tcPr>
            <w:tcW w:type="dxa" w:w="7258"/>
            <w:shd w:fill="F2F2F2" w:color="auto" w:val="clear"/>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The FBI's Internet Crime Complaint Center, where ransomware incidents in the United States are reported.</w:t>
            </w:r>
          </w:p>
        </w:tc>
      </w:tr>
      <w:tr>
        <w:trPr>
          <w:cantSplit/>
        </w:trPr>
        <w:tc>
          <w:tcPr>
            <w:tcW w:type="dxa" w:w="2822"/>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Microsoft Incident Response</w:t>
            </w:r>
          </w:p>
        </w:tc>
        <w:tc>
          <w:tcPr>
            <w:tcW w:type="dxa" w:w="7258"/>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19"/>
                <w:szCs w:val="19"/>
              </w:rPr>
              <w:t xml:space="preserve">Microsoft's team that helps organizations investigate and recover from attacks; reachable through your support relationship.</w:t>
            </w:r>
          </w:p>
        </w:tc>
      </w:tr>
    </w:tbl>
    <w:p>
      <w:r>
        <w:br w:type="page"/>
      </w:r>
    </w:p>
    <w:p>
      <w:pPr>
        <w:pStyle w:val="Heading1"/>
        <w:keepNext/>
        <w:spacing w:after="160" w:before="360"/>
      </w:pPr>
      <w:r>
        <w:rPr>
          <w:rFonts w:ascii="Calibri" w:cs="Calibri" w:eastAsia="Calibri" w:hAnsi="Calibri"/>
          <w:b/>
          <w:bCs/>
          <w:color w:val="7A0019"/>
          <w:sz w:val="36"/>
          <w:szCs w:val="36"/>
        </w:rPr>
        <w:t xml:space="preserve">9. The vice president briefing</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At the close, your spokesperson stands and delivers this in one breath (60 seconds). The other team votes on which briefing they would rather receive. Fill it in during Move 3; refine it during the debrief.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val="off"/>
        </w:trPr>
        <w:tc>
          <w:tcPr>
            <w:tcW w:type="dxa" w:w="10080"/>
            <w:tcBorders>
              <w:top w:val="none" w:color="FFF4CC" w:sz="0"/>
              <w:left w:val="single" w:color="7A0019" w:sz="24"/>
              <w:bottom w:val="none" w:color="FFF4CC" w:sz="0"/>
              <w:right w:val="none" w:color="FFF4CC" w:sz="0"/>
            </w:tcBorders>
            <w:shd w:fill="FFF4CC" w:color="auto" w:val="clear"/>
            <w:tcMar>
              <w:top w:type="dxa" w:w="120"/>
              <w:left w:type="dxa" w:w="160"/>
              <w:bottom w:type="dxa" w:w="100"/>
              <w:right w:type="dxa" w:w="160"/>
            </w:tcMar>
          </w:tcPr>
          <w:p>
            <w:pPr>
              <w:spacing w:after="80"/>
            </w:pPr>
            <w:r>
              <w:rPr>
                <w:rFonts w:ascii="Calibri" w:cs="Calibri" w:eastAsia="Calibri" w:hAnsi="Calibri"/>
                <w:b/>
                <w:bCs/>
                <w:i w:val="false"/>
                <w:iCs w:val="false"/>
                <w:color w:val="7A0019"/>
                <w:sz w:val="22"/>
                <w:szCs w:val="22"/>
              </w:rPr>
              <w:t xml:space="preserve">Template</w:t>
            </w:r>
          </w:p>
          <w:p>
            <w:pPr>
              <w:spacing w:after="120"/>
            </w:pPr>
            <w:r>
              <w:rPr>
                <w:rFonts w:ascii="Calibri" w:cs="Calibri" w:eastAsia="Calibri" w:hAnsi="Calibri"/>
                <w:b/>
                <w:bCs/>
                <w:i w:val="false"/>
                <w:iCs w:val="false"/>
                <w:color w:val="2B2B2B"/>
                <w:sz w:val="21"/>
                <w:szCs w:val="21"/>
              </w:rPr>
              <w:t xml:space="preserve">What happened. </w:t>
            </w:r>
            <w:r>
              <w:rPr>
                <w:rFonts w:ascii="Calibri" w:cs="Calibri" w:eastAsia="Calibri" w:hAnsi="Calibri"/>
                <w:b w:val="false"/>
                <w:bCs w:val="false"/>
                <w:i w:val="false"/>
                <w:iCs w:val="false"/>
                <w:color w:val="2B2B2B"/>
                <w:sz w:val="21"/>
                <w:szCs w:val="21"/>
              </w:rPr>
              <w:t xml:space="preserve">"At 02:14 on Saturday ______________________________________________."</w:t>
            </w:r>
          </w:p>
          <w:p>
            <w:pPr>
              <w:spacing w:after="120"/>
            </w:pPr>
            <w:r>
              <w:rPr>
                <w:rFonts w:ascii="Calibri" w:cs="Calibri" w:eastAsia="Calibri" w:hAnsi="Calibri"/>
                <w:b/>
                <w:bCs/>
                <w:i w:val="false"/>
                <w:iCs w:val="false"/>
                <w:color w:val="2B2B2B"/>
                <w:sz w:val="21"/>
                <w:szCs w:val="21"/>
              </w:rPr>
              <w:t xml:space="preserve">What held. </w:t>
            </w:r>
            <w:r>
              <w:rPr>
                <w:rFonts w:ascii="Calibri" w:cs="Calibri" w:eastAsia="Calibri" w:hAnsi="Calibri"/>
                <w:b w:val="false"/>
                <w:bCs w:val="false"/>
                <w:i w:val="false"/>
                <w:iCs w:val="false"/>
                <w:color w:val="2B2B2B"/>
                <w:sz w:val="21"/>
                <w:szCs w:val="21"/>
              </w:rPr>
              <w:t xml:space="preserve">"The copies that survived are ______________________ because ______________________."</w:t>
            </w:r>
          </w:p>
          <w:p>
            <w:pPr>
              <w:spacing w:after="120"/>
            </w:pPr>
            <w:r>
              <w:rPr>
                <w:rFonts w:ascii="Calibri" w:cs="Calibri" w:eastAsia="Calibri" w:hAnsi="Calibri"/>
                <w:b/>
                <w:bCs/>
                <w:i w:val="false"/>
                <w:iCs w:val="false"/>
                <w:color w:val="2B2B2B"/>
                <w:sz w:val="21"/>
                <w:szCs w:val="21"/>
              </w:rPr>
              <w:t xml:space="preserve">What we can recover and by when. </w:t>
            </w:r>
            <w:r>
              <w:rPr>
                <w:rFonts w:ascii="Calibri" w:cs="Calibri" w:eastAsia="Calibri" w:hAnsi="Calibri"/>
                <w:b w:val="false"/>
                <w:bCs w:val="false"/>
                <w:i w:val="false"/>
                <w:iCs w:val="false"/>
                <w:color w:val="2B2B2B"/>
                <w:sz w:val="21"/>
                <w:szCs w:val="21"/>
              </w:rPr>
              <w:t xml:space="preserve">"We expect ______________________ back by __________, with data current as of __________."</w:t>
            </w:r>
          </w:p>
          <w:p>
            <w:pPr>
              <w:spacing w:after="120"/>
            </w:pPr>
            <w:r>
              <w:rPr>
                <w:rFonts w:ascii="Calibri" w:cs="Calibri" w:eastAsia="Calibri" w:hAnsi="Calibri"/>
                <w:b/>
                <w:bCs/>
                <w:i w:val="false"/>
                <w:iCs w:val="false"/>
                <w:color w:val="2B2B2B"/>
                <w:sz w:val="21"/>
                <w:szCs w:val="21"/>
              </w:rPr>
              <w:t xml:space="preserve">What we need. </w:t>
            </w:r>
            <w:r>
              <w:rPr>
                <w:rFonts w:ascii="Calibri" w:cs="Calibri" w:eastAsia="Calibri" w:hAnsi="Calibri"/>
                <w:b w:val="false"/>
                <w:bCs w:val="false"/>
                <w:i w:val="false"/>
                <w:iCs w:val="false"/>
                <w:color w:val="2B2B2B"/>
                <w:sz w:val="21"/>
                <w:szCs w:val="21"/>
              </w:rPr>
              <w:t xml:space="preserve">"From you, today: ______________________________________________."</w:t>
            </w:r>
          </w:p>
          <w:p>
            <w:pPr>
              <w:spacing w:after="60"/>
            </w:pPr>
            <w:r>
              <w:rPr>
                <w:rFonts w:ascii="Calibri" w:cs="Calibri" w:eastAsia="Calibri" w:hAnsi="Calibri"/>
                <w:b/>
                <w:bCs/>
                <w:i w:val="false"/>
                <w:iCs w:val="false"/>
                <w:color w:val="2B2B2B"/>
                <w:sz w:val="21"/>
                <w:szCs w:val="21"/>
              </w:rPr>
              <w:t xml:space="preserve">What immutable means for us now. </w:t>
            </w:r>
            <w:r>
              <w:rPr>
                <w:rFonts w:ascii="Calibri" w:cs="Calibri" w:eastAsia="Calibri" w:hAnsi="Calibri"/>
                <w:b w:val="false"/>
                <w:bCs w:val="false"/>
                <w:i w:val="false"/>
                <w:iCs w:val="false"/>
                <w:color w:val="2B2B2B"/>
                <w:sz w:val="21"/>
                <w:szCs w:val="21"/>
              </w:rPr>
              <w:t xml:space="preserve">"______________________________________________, and it does not mean __________________."</w:t>
            </w:r>
          </w:p>
        </w:tc>
      </w:tr>
    </w:tbl>
    <w:p>
      <w:pPr>
        <w:spacing w:after="120"/>
      </w:pPr>
    </w:p>
    <w:p>
      <w:pPr>
        <w:pStyle w:val="Heading2"/>
        <w:keepNext/>
        <w:spacing w:after="120" w:before="280"/>
      </w:pPr>
      <w:r>
        <w:rPr>
          <w:rFonts w:ascii="Calibri" w:cs="Calibri" w:eastAsia="Calibri" w:hAnsi="Calibri"/>
          <w:b/>
          <w:bCs/>
          <w:color w:val="7A0019"/>
          <w:sz w:val="28"/>
          <w:szCs w:val="28"/>
        </w:rPr>
        <w:t xml:space="preserve">Rules for the briefing</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No promises IT cannot keep. If you do not know a recovery time yet, say what you know and when you will know more.</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Say what "immutable" does and does not cover for the university. Leadership will repeat your words to others.</w:t>
      </w:r>
    </w:p>
    <w:p>
      <w:pPr>
        <w:pStyle w:val="ListParagraph"/>
        <w:numPr>
          <w:ilvl w:val="0"/>
          <w:numId w:val="2"/>
        </w:numPr>
        <w:spacing w:after="60" w:line="264"/>
      </w:pPr>
      <w:r>
        <w:rPr>
          <w:rFonts w:ascii="Calibri" w:cs="Calibri" w:eastAsia="Calibri" w:hAnsi="Calibri"/>
          <w:b w:val="false"/>
          <w:bCs w:val="false"/>
          <w:i w:val="false"/>
          <w:iCs w:val="false"/>
          <w:color w:val="2B2B2B"/>
          <w:sz w:val="22"/>
          <w:szCs w:val="22"/>
        </w:rPr>
        <w:t xml:space="preserve">Name one decision only leadership can make, and give them the options rather than the answer.</w:t>
      </w:r>
    </w:p>
    <w:p>
      <w:pPr>
        <w:pStyle w:val="Heading2"/>
        <w:keepNext/>
        <w:spacing w:after="120" w:before="280"/>
      </w:pPr>
      <w:r>
        <w:rPr>
          <w:rFonts w:ascii="Calibri" w:cs="Calibri" w:eastAsia="Calibri" w:hAnsi="Calibri"/>
          <w:b/>
          <w:bCs/>
          <w:color w:val="7A0019"/>
          <w:sz w:val="28"/>
          <w:szCs w:val="28"/>
        </w:rPr>
        <w:t xml:space="preserve">One thing I would change on Monday</w:t>
      </w:r>
    </w:p>
    <w:p>
      <w:pPr>
        <w:keepNext w:val="false"/>
        <w:spacing w:after="120" w:before="0" w:line="276"/>
        <w:jc w:val="left"/>
      </w:pPr>
      <w:r>
        <w:rPr>
          <w:rFonts w:ascii="Calibri" w:cs="Calibri" w:eastAsia="Calibri" w:hAnsi="Calibri"/>
          <w:b w:val="false"/>
          <w:bCs w:val="false"/>
          <w:i w:val="false"/>
          <w:iCs w:val="false"/>
          <w:color w:val="2B2B2B"/>
          <w:sz w:val="22"/>
          <w:szCs w:val="22"/>
        </w:rPr>
        <w:t xml:space="preserve">Write it here before the survey. The facilitator will read two aloud.</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spacing w:after="160"/>
      </w:pPr>
      <w:r>
        <w:rPr>
          <w:rFonts w:ascii="Calibri" w:cs="Calibri" w:eastAsia="Calibri" w:hAnsi="Calibri"/>
          <w:b w:val="false"/>
          <w:bCs w:val="false"/>
          <w:i w:val="false"/>
          <w:iCs w:val="false"/>
          <w:color w:val="2B2B2B"/>
          <w:sz w:val="22"/>
          <w:szCs w:val="22"/>
        </w:rPr>
        <w:t xml:space="preserve"> </w:t>
      </w:r>
    </w:p>
    <w:p>
      <w:pPr>
        <w:pStyle w:val="Heading2"/>
        <w:keepNext/>
        <w:spacing w:after="120" w:before="280"/>
      </w:pPr>
      <w:r>
        <w:rPr>
          <w:rFonts w:ascii="Calibri" w:cs="Calibri" w:eastAsia="Calibri" w:hAnsi="Calibri"/>
          <w:b/>
          <w:bCs/>
          <w:color w:val="7A0019"/>
          <w:sz w:val="28"/>
          <w:szCs w:val="28"/>
        </w:rPr>
        <w:t xml:space="preserve">Scoreboard</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Pr>
      <w:tblGrid>
        <w:gridCol w:w="1814"/>
        <w:gridCol w:w="1411"/>
        <w:gridCol w:w="1411"/>
        <w:gridCol w:w="1411"/>
        <w:gridCol w:w="2621"/>
        <w:gridCol w:w="1411"/>
      </w:tblGrid>
      <w:tr>
        <w:trPr>
          <w:tblHeader/>
        </w:trPr>
        <w:tc>
          <w:tcPr>
            <w:tcW w:type="dxa" w:w="1814"/>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
            </w:r>
          </w:p>
        </w:tc>
        <w:tc>
          <w:tcPr>
            <w:tcW w:type="dxa" w:w="141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Move 1 (2)</w:t>
            </w:r>
          </w:p>
        </w:tc>
        <w:tc>
          <w:tcPr>
            <w:tcW w:type="dxa" w:w="141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Move 2 (12)</w:t>
            </w:r>
          </w:p>
        </w:tc>
        <w:tc>
          <w:tcPr>
            <w:tcW w:type="dxa" w:w="141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Move 3 (8)</w:t>
            </w:r>
          </w:p>
        </w:tc>
        <w:tc>
          <w:tcPr>
            <w:tcW w:type="dxa" w:w="262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Lifelines used (minus 1 each beyond two)</w:t>
            </w:r>
          </w:p>
        </w:tc>
        <w:tc>
          <w:tcPr>
            <w:tcW w:type="dxa" w:w="1411"/>
            <w:shd w:fill="7A0019" w:color="auto" w:val="clear"/>
            <w:tcMar>
              <w:top w:type="dxa" w:w="60"/>
              <w:left w:type="dxa" w:w="100"/>
              <w:bottom w:type="dxa" w:w="60"/>
              <w:right w:type="dxa" w:w="100"/>
            </w:tcMar>
            <w:vAlign w:val="top"/>
          </w:tcPr>
          <w:p>
            <w:pPr>
              <w:spacing w:after="40" w:line="252"/>
            </w:pPr>
            <w:r>
              <w:rPr>
                <w:rFonts w:ascii="Calibri" w:cs="Calibri" w:eastAsia="Calibri" w:hAnsi="Calibri"/>
                <w:b/>
                <w:bCs/>
                <w:i w:val="false"/>
                <w:iCs w:val="false"/>
                <w:color w:val="FFFFFF"/>
                <w:sz w:val="20"/>
                <w:szCs w:val="20"/>
              </w:rPr>
              <w:t xml:space="preserve">Total (22)</w:t>
            </w:r>
          </w:p>
        </w:tc>
      </w:tr>
      <w:tr>
        <w:trPr>
          <w:cantSplit/>
        </w:trPr>
        <w:tc>
          <w:tcPr>
            <w:tcW w:type="dxa" w:w="181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Team Maroon</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r>
        <w:trPr>
          <w:cantSplit/>
        </w:trPr>
        <w:tc>
          <w:tcPr>
            <w:tcW w:type="dxa" w:w="1814"/>
            <w:tcMar>
              <w:top w:type="dxa" w:w="60"/>
              <w:left w:type="dxa" w:w="100"/>
              <w:bottom w:type="dxa" w:w="60"/>
              <w:right w:type="dxa" w:w="100"/>
            </w:tcMar>
            <w:vAlign w:val="top"/>
          </w:tcPr>
          <w:p>
            <w:pPr>
              <w:spacing w:after="40" w:line="252"/>
            </w:pPr>
            <w:r>
              <w:rPr>
                <w:rFonts w:ascii="Calibri" w:cs="Calibri" w:eastAsia="Calibri" w:hAnsi="Calibri"/>
                <w:b w:val="false"/>
                <w:bCs w:val="false"/>
                <w:i w:val="false"/>
                <w:iCs w:val="false"/>
                <w:color w:val="2B2B2B"/>
                <w:sz w:val="20"/>
                <w:szCs w:val="20"/>
              </w:rPr>
              <w:t xml:space="preserve">Team Gold</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262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c>
          <w:tcPr>
            <w:tcW w:type="dxa" w:w="1411"/>
            <w:tcMar>
              <w:top w:type="dxa" w:w="60"/>
              <w:left w:type="dxa" w:w="100"/>
              <w:bottom w:type="dxa" w:w="60"/>
              <w:right w:type="dxa" w:w="100"/>
            </w:tcMar>
            <w:vAlign w:val="top"/>
          </w:tcPr>
          <w:p>
            <w:pPr>
              <w:spacing w:after="160"/>
            </w:pPr>
            <w:r>
              <w:rPr>
                <w:rFonts w:ascii="Calibri" w:cs="Calibri" w:eastAsia="Calibri" w:hAnsi="Calibri"/>
                <w:b w:val="false"/>
                <w:bCs w:val="false"/>
                <w:i w:val="false"/>
                <w:iCs w:val="false"/>
                <w:color w:val="2B2B2B"/>
                <w:sz w:val="22"/>
                <w:szCs w:val="22"/>
              </w:rPr>
              <w:t xml:space="preserve"> </w:t>
            </w:r>
          </w:p>
        </w:tc>
      </w:tr>
    </w:tbl>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595959"/>
        <w:sz w:val="18"/>
        <w:szCs w:val="18"/>
      </w:rPr>
      <w:t xml:space="preserve">Gamut Technology Services for the University of Minnesota  |  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b w:val="false"/>
        <w:bCs w:val="false"/>
        <w:i w:val="false"/>
        <w:iCs w:val="false"/>
        <w:color w:val="595959"/>
        <w:sz w:val="18"/>
        <w:szCs w:val="18"/>
      </w:rPr>
      <w:t xml:space="preserve">  |  Fictional scenario: every system, account, and event is invented for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CC33" w:sz="6" w:space="4"/>
      </w:pBdr>
      <w:jc w:val="right"/>
    </w:pPr>
    <w:r>
      <w:rPr>
        <w:rFonts w:ascii="Calibri" w:cs="Calibri" w:eastAsia="Calibri" w:hAnsi="Calibri"/>
        <w:b w:val="false"/>
        <w:bCs w:val="false"/>
        <w:i w:val="false"/>
        <w:iCs w:val="false"/>
        <w:color w:val="595959"/>
        <w:sz w:val="18"/>
        <w:szCs w:val="18"/>
      </w:rPr>
      <w:t xml:space="preserve">Cold Front  |  Participant Packet  |  Session 3: Data Protection in Both Directions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7A001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7A001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B2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Cold Front Participant Packet</dc:title>
  <dc:creator>Gamut Technology Services</dc:creator>
  <cp:lastModifiedBy>Un-named</cp:lastModifiedBy>
  <cp:revision>1</cp:revision>
  <dcterms:created xsi:type="dcterms:W3CDTF">2026-10-23T13:01:12.981Z</dcterms:created>
  <dcterms:modified xsi:type="dcterms:W3CDTF">2026-10-23T13:01:12.982Z</dcterms:modified>
</cp:coreProperties>
</file>

<file path=docProps/custom.xml><?xml version="1.0" encoding="utf-8"?>
<Properties xmlns="http://schemas.openxmlformats.org/officeDocument/2006/custom-properties" xmlns:vt="http://schemas.openxmlformats.org/officeDocument/2006/docPropsVTypes"/>
</file>