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color w:val="595959"/>
          <w:sz w:val="22"/>
          <w:szCs w:val="22"/>
        </w:rPr>
        <w:t xml:space="preserve">University of Minnesota custom Azure course</w:t>
      </w:r>
    </w:p>
    <w:p>
      <w:pPr>
        <w:spacing w:after="120"/>
      </w:pPr>
      <w:r>
        <w:rPr>
          <w:rFonts w:ascii="Calibri" w:cs="Calibri" w:eastAsia="Calibri" w:hAnsi="Calibri"/>
          <w:b/>
          <w:bCs/>
          <w:color w:val="7A0019"/>
          <w:sz w:val="48"/>
          <w:szCs w:val="48"/>
        </w:rPr>
        <w:t xml:space="preserve">Session 2 Participant Workbook</w:t>
      </w:r>
    </w:p>
    <w:p>
      <w:pPr>
        <w:spacing w:after="120"/>
      </w:pPr>
      <w:r>
        <w:rPr>
          <w:rFonts w:ascii="Calibri" w:cs="Calibri" w:eastAsia="Calibri" w:hAnsi="Calibri"/>
          <w:color w:val="595959"/>
          <w:sz w:val="30"/>
          <w:szCs w:val="30"/>
        </w:rPr>
        <w:t xml:space="preserve">Long-Term Archival, Data Movement at Scale, and Hybrid Identity</w:t>
      </w:r>
    </w:p>
    <w:p>
      <w:pPr>
        <w:pBdr>
          <w:bottom w:val="single" w:color="FFCC33" w:sz="12" w:space="8"/>
        </w:pBdr>
        <w:spacing w:after="360"/>
      </w:pPr>
      <w:r>
        <w:rPr>
          <w:rFonts w:ascii="Calibri" w:cs="Calibri" w:eastAsia="Calibri" w:hAnsi="Calibri"/>
          <w:i/>
          <w:iCs/>
          <w:sz w:val="24"/>
          <w:szCs w:val="24"/>
        </w:rPr>
        <w:t xml:space="preserve">Azure Storage, Data Protection, and Resilience at Scale</w:t>
      </w:r>
    </w:p>
    <w:p>
      <w:pPr>
        <w:spacing w:after="80"/>
      </w:pPr>
      <w:r>
        <w:rPr>
          <w:rFonts w:ascii="Calibri" w:cs="Calibri" w:eastAsia="Calibri" w:hAnsi="Calibri"/>
          <w:b/>
          <w:bCs/>
          <w:sz w:val="22"/>
          <w:szCs w:val="22"/>
        </w:rPr>
        <w:t xml:space="preserve">Session: </w:t>
      </w:r>
      <w:r>
        <w:rPr>
          <w:rFonts w:ascii="Calibri" w:cs="Calibri" w:eastAsia="Calibri" w:hAnsi="Calibri"/>
          <w:sz w:val="22"/>
          <w:szCs w:val="22"/>
        </w:rPr>
        <w:t xml:space="preserve">Day 1, Session 2, four hours</w:t>
      </w:r>
    </w:p>
    <w:p>
      <w:pPr>
        <w:spacing w:after="80"/>
      </w:pPr>
      <w:r>
        <w:rPr>
          <w:rFonts w:ascii="Calibri" w:cs="Calibri" w:eastAsia="Calibri" w:hAnsi="Calibri"/>
          <w:b/>
          <w:bCs/>
          <w:sz w:val="22"/>
          <w:szCs w:val="22"/>
        </w:rPr>
        <w:t xml:space="preserve">Use: </w:t>
      </w:r>
      <w:r>
        <w:rPr>
          <w:rFonts w:ascii="Calibri" w:cs="Calibri" w:eastAsia="Calibri" w:hAnsi="Calibri"/>
          <w:sz w:val="22"/>
          <w:szCs w:val="22"/>
        </w:rPr>
        <w:t xml:space="preserve">Checkpoint discussion, design exercise or lab debrief, discussion prompts, knowledge check</w:t>
      </w:r>
    </w:p>
    <w:p>
      <w:pPr>
        <w:spacing w:after="80"/>
      </w:pPr>
      <w:r>
        <w:rPr>
          <w:rFonts w:ascii="Calibri" w:cs="Calibri" w:eastAsia="Calibri" w:hAnsi="Calibri"/>
          <w:b/>
          <w:bCs/>
          <w:sz w:val="22"/>
          <w:szCs w:val="22"/>
        </w:rPr>
        <w:t xml:space="preserve">Keep: </w:t>
      </w:r>
      <w:r>
        <w:rPr>
          <w:rFonts w:ascii="Calibri" w:cs="Calibri" w:eastAsia="Calibri" w:hAnsi="Calibri"/>
          <w:sz w:val="22"/>
          <w:szCs w:val="22"/>
        </w:rPr>
        <w:t xml:space="preserve">Your worksheets are the input to the Session 6 roadmap capstone</w:t>
      </w:r>
    </w:p>
    <w:p>
      <w:pPr>
        <w:spacing w:before="400"/>
      </w:pPr>
      <w:r>
        <w:rPr>
          <w:rFonts w:ascii="Calibri" w:cs="Calibri" w:eastAsia="Calibri" w:hAnsi="Calibri"/>
          <w:i/>
          <w:iCs/>
          <w:color w:val="595959"/>
          <w:sz w:val="20"/>
          <w:szCs w:val="20"/>
        </w:rPr>
        <w:t xml:space="preserve">All scenarios use synthetic data modeled on a large public research university. No real University of Minnesota data is used.</w:t>
      </w:r>
    </w:p>
    <w:p>
      <w:r>
        <w:br w:type="page"/>
      </w:r>
    </w:p>
    <w:p>
      <w:pPr>
        <w:spacing w:after="160"/>
      </w:pPr>
      <w:r>
        <w:rPr>
          <w:rFonts w:ascii="Calibri" w:cs="Calibri" w:eastAsia="Calibri" w:hAnsi="Calibri"/>
          <w:b/>
          <w:bCs/>
          <w:color w:val="7A0019"/>
          <w:sz w:val="32"/>
          <w:szCs w:val="32"/>
        </w:rPr>
        <w:t xml:space="preserve">Contents</w:t>
      </w:r>
    </w:p>
    <w:sdt>
      <w:sdtPr>
        <w:alias w:val="Contents"/>
      </w:sdtPr>
      <w:sdtContent>
        <w:p>
          <w:r>
            <w:fldChar w:fldCharType="begin" w:dirty="true"/>
            <w:instrText xml:space="preserve">TOC \h \o "1-2"</w:instrText>
            <w:fldChar w:fldCharType="separate"/>
          </w:r>
        </w:p>
        <w:p>
          <w:pPr>
            <w:tabs>
              <w:tab w:val="right" w:leader="dot" w:pos="9350"/>
            </w:tabs>
            <w:spacing w:before="100" w:after="40"/>
            <w:ind w:left="0"/>
          </w:pPr>
          <w:r>
            <w:rPr>
              <w:rFonts w:ascii="Calibri" w:cs="Calibri" w:eastAsia="Calibri" w:hAnsi="Calibri"/>
              <w:b/>
              <w:bCs/>
              <w:sz w:val="22"/>
              <w:szCs w:val="22"/>
            </w:rPr>
            <w:t xml:space="preserve">1. Session map</w:t>
          </w:r>
          <w:r>
            <w:rPr>
              <w:rFonts w:ascii="Calibri" w:cs="Calibri" w:eastAsia="Calibri" w:hAnsi="Calibri"/>
              <w:b/>
              <w:bCs/>
              <w:sz w:val="22"/>
              <w:szCs w:val="22"/>
            </w:rPr>
            <w:tab/>
            <w:t>3</w:t>
          </w:r>
        </w:p>
        <w:p>
          <w:pPr>
            <w:tabs>
              <w:tab w:val="right" w:leader="dot" w:pos="9350"/>
            </w:tabs>
            <w:spacing w:before="0" w:after="40"/>
            <w:ind w:left="360"/>
          </w:pPr>
          <w:r>
            <w:rPr>
              <w:rFonts w:ascii="Calibri" w:cs="Calibri" w:eastAsia="Calibri" w:hAnsi="Calibri"/>
              <w:sz w:val="22"/>
              <w:szCs w:val="22"/>
            </w:rPr>
            <w:t xml:space="preserve">1.1 What this session covers</w:t>
          </w:r>
          <w:r>
            <w:rPr>
              <w:rFonts w:ascii="Calibri" w:cs="Calibri" w:eastAsia="Calibri" w:hAnsi="Calibri"/>
              <w:sz w:val="22"/>
              <w:szCs w:val="22"/>
            </w:rPr>
            <w:tab/>
            <w:t>3</w:t>
          </w:r>
        </w:p>
        <w:p>
          <w:pPr>
            <w:tabs>
              <w:tab w:val="right" w:leader="dot" w:pos="9350"/>
            </w:tabs>
            <w:spacing w:before="0" w:after="40"/>
            <w:ind w:left="360"/>
          </w:pPr>
          <w:r>
            <w:rPr>
              <w:rFonts w:ascii="Calibri" w:cs="Calibri" w:eastAsia="Calibri" w:hAnsi="Calibri"/>
              <w:sz w:val="22"/>
              <w:szCs w:val="22"/>
            </w:rPr>
            <w:t xml:space="preserve">1.2 Have ready</w:t>
          </w:r>
          <w:r>
            <w:rPr>
              <w:rFonts w:ascii="Calibri" w:cs="Calibri" w:eastAsia="Calibri" w:hAnsi="Calibri"/>
              <w:sz w:val="22"/>
              <w:szCs w:val="22"/>
            </w:rPr>
            <w:tab/>
            <w:t>3</w:t>
          </w:r>
        </w:p>
        <w:p>
          <w:pPr>
            <w:tabs>
              <w:tab w:val="right" w:leader="dot" w:pos="9350"/>
            </w:tabs>
            <w:spacing w:before="0" w:after="40"/>
            <w:ind w:left="360"/>
          </w:pPr>
          <w:r>
            <w:rPr>
              <w:rFonts w:ascii="Calibri" w:cs="Calibri" w:eastAsia="Calibri" w:hAnsi="Calibri"/>
              <w:sz w:val="22"/>
              <w:szCs w:val="22"/>
            </w:rPr>
            <w:t xml:space="preserve">1.3 Materials you will receive</w:t>
          </w:r>
          <w:r>
            <w:rPr>
              <w:rFonts w:ascii="Calibri" w:cs="Calibri" w:eastAsia="Calibri" w:hAnsi="Calibri"/>
              <w:sz w:val="22"/>
              <w:szCs w:val="22"/>
            </w:rPr>
            <w:tab/>
            <w:t>3</w:t>
          </w:r>
        </w:p>
        <w:p>
          <w:pPr>
            <w:tabs>
              <w:tab w:val="right" w:leader="dot" w:pos="9350"/>
            </w:tabs>
            <w:spacing w:before="100" w:after="40"/>
            <w:ind w:left="0"/>
          </w:pPr>
          <w:r>
            <w:rPr>
              <w:rFonts w:ascii="Calibri" w:cs="Calibri" w:eastAsia="Calibri" w:hAnsi="Calibri"/>
              <w:b/>
              <w:bCs/>
              <w:sz w:val="22"/>
              <w:szCs w:val="22"/>
            </w:rPr>
            <w:t xml:space="preserve">2. Block 1 checkpoint: three archival questions</w:t>
          </w:r>
          <w:r>
            <w:rPr>
              <w:rFonts w:ascii="Calibri" w:cs="Calibri" w:eastAsia="Calibri" w:hAnsi="Calibri"/>
              <w:b/>
              <w:bCs/>
              <w:sz w:val="22"/>
              <w:szCs w:val="22"/>
            </w:rPr>
            <w:tab/>
            <w:t>4</w:t>
          </w:r>
        </w:p>
        <w:p>
          <w:pPr>
            <w:tabs>
              <w:tab w:val="right" w:leader="dot" w:pos="9350"/>
            </w:tabs>
            <w:spacing w:before="100" w:after="40"/>
            <w:ind w:left="0"/>
          </w:pPr>
          <w:r>
            <w:rPr>
              <w:rFonts w:ascii="Calibri" w:cs="Calibri" w:eastAsia="Calibri" w:hAnsi="Calibri"/>
              <w:b/>
              <w:bCs/>
              <w:sz w:val="22"/>
              <w:szCs w:val="22"/>
            </w:rPr>
            <w:t xml:space="preserve">3. Debrief design sprint: your archival landing zone</w:t>
          </w:r>
          <w:r>
            <w:rPr>
              <w:rFonts w:ascii="Calibri" w:cs="Calibri" w:eastAsia="Calibri" w:hAnsi="Calibri"/>
              <w:b/>
              <w:bCs/>
              <w:sz w:val="22"/>
              <w:szCs w:val="22"/>
            </w:rPr>
            <w:tab/>
            <w:t>5</w:t>
          </w:r>
        </w:p>
        <w:p>
          <w:pPr>
            <w:tabs>
              <w:tab w:val="right" w:leader="dot" w:pos="9350"/>
            </w:tabs>
            <w:spacing w:before="0" w:after="40"/>
            <w:ind w:left="360"/>
          </w:pPr>
          <w:r>
            <w:rPr>
              <w:rFonts w:ascii="Calibri" w:cs="Calibri" w:eastAsia="Calibri" w:hAnsi="Calibri"/>
              <w:sz w:val="22"/>
              <w:szCs w:val="22"/>
            </w:rPr>
            <w:t xml:space="preserve">3.1 Steps</w:t>
          </w:r>
          <w:r>
            <w:rPr>
              <w:rFonts w:ascii="Calibri" w:cs="Calibri" w:eastAsia="Calibri" w:hAnsi="Calibri"/>
              <w:sz w:val="22"/>
              <w:szCs w:val="22"/>
            </w:rPr>
            <w:tab/>
            <w:t>5</w:t>
          </w:r>
        </w:p>
        <w:p>
          <w:pPr>
            <w:tabs>
              <w:tab w:val="right" w:leader="dot" w:pos="9350"/>
            </w:tabs>
            <w:spacing w:before="0" w:after="40"/>
            <w:ind w:left="360"/>
          </w:pPr>
          <w:r>
            <w:rPr>
              <w:rFonts w:ascii="Calibri" w:cs="Calibri" w:eastAsia="Calibri" w:hAnsi="Calibri"/>
              <w:sz w:val="22"/>
              <w:szCs w:val="22"/>
            </w:rPr>
            <w:t xml:space="preserve">3.2 Worksheet: lab evidence</w:t>
          </w:r>
          <w:r>
            <w:rPr>
              <w:rFonts w:ascii="Calibri" w:cs="Calibri" w:eastAsia="Calibri" w:hAnsi="Calibri"/>
              <w:sz w:val="22"/>
              <w:szCs w:val="22"/>
            </w:rPr>
            <w:tab/>
            <w:t>5</w:t>
          </w:r>
        </w:p>
        <w:p>
          <w:pPr>
            <w:tabs>
              <w:tab w:val="right" w:leader="dot" w:pos="9350"/>
            </w:tabs>
            <w:spacing w:before="0" w:after="40"/>
            <w:ind w:left="360"/>
          </w:pPr>
          <w:r>
            <w:rPr>
              <w:rFonts w:ascii="Calibri" w:cs="Calibri" w:eastAsia="Calibri" w:hAnsi="Calibri"/>
              <w:sz w:val="22"/>
              <w:szCs w:val="22"/>
            </w:rPr>
            <w:t xml:space="preserve">3.3 Worksheet: three archival datasets</w:t>
          </w:r>
          <w:r>
            <w:rPr>
              <w:rFonts w:ascii="Calibri" w:cs="Calibri" w:eastAsia="Calibri" w:hAnsi="Calibri"/>
              <w:sz w:val="22"/>
              <w:szCs w:val="22"/>
            </w:rPr>
            <w:tab/>
            <w:t>5</w:t>
          </w:r>
        </w:p>
        <w:p>
          <w:pPr>
            <w:tabs>
              <w:tab w:val="right" w:leader="dot" w:pos="9350"/>
            </w:tabs>
            <w:spacing w:before="0" w:after="40"/>
            <w:ind w:left="360"/>
          </w:pPr>
          <w:r>
            <w:rPr>
              <w:rFonts w:ascii="Calibri" w:cs="Calibri" w:eastAsia="Calibri" w:hAnsi="Calibri"/>
              <w:sz w:val="22"/>
              <w:szCs w:val="22"/>
            </w:rPr>
            <w:t xml:space="preserve">3.4 Worksheet: movement and identity for the largest dataset</w:t>
          </w:r>
          <w:r>
            <w:rPr>
              <w:rFonts w:ascii="Calibri" w:cs="Calibri" w:eastAsia="Calibri" w:hAnsi="Calibri"/>
              <w:sz w:val="22"/>
              <w:szCs w:val="22"/>
            </w:rPr>
            <w:tab/>
            <w:t>6</w:t>
          </w:r>
        </w:p>
        <w:p>
          <w:pPr>
            <w:tabs>
              <w:tab w:val="right" w:leader="dot" w:pos="9350"/>
            </w:tabs>
            <w:spacing w:before="0" w:after="40"/>
            <w:ind w:left="360"/>
          </w:pPr>
          <w:r>
            <w:rPr>
              <w:rFonts w:ascii="Calibri" w:cs="Calibri" w:eastAsia="Calibri" w:hAnsi="Calibri"/>
              <w:sz w:val="22"/>
              <w:szCs w:val="22"/>
            </w:rPr>
            <w:t xml:space="preserve">3.5 What you present</w:t>
          </w:r>
          <w:r>
            <w:rPr>
              <w:rFonts w:ascii="Calibri" w:cs="Calibri" w:eastAsia="Calibri" w:hAnsi="Calibri"/>
              <w:sz w:val="22"/>
              <w:szCs w:val="22"/>
            </w:rPr>
            <w:tab/>
            <w:t>7</w:t>
          </w:r>
        </w:p>
        <w:p>
          <w:pPr>
            <w:tabs>
              <w:tab w:val="right" w:leader="dot" w:pos="9350"/>
            </w:tabs>
            <w:spacing w:before="0" w:after="40"/>
            <w:ind w:left="360"/>
          </w:pPr>
          <w:r>
            <w:rPr>
              <w:rFonts w:ascii="Calibri" w:cs="Calibri" w:eastAsia="Calibri" w:hAnsi="Calibri"/>
              <w:sz w:val="22"/>
              <w:szCs w:val="22"/>
            </w:rPr>
            <w:t xml:space="preserve">3.6 How your design will be critiqued</w:t>
          </w:r>
          <w:r>
            <w:rPr>
              <w:rFonts w:ascii="Calibri" w:cs="Calibri" w:eastAsia="Calibri" w:hAnsi="Calibri"/>
              <w:sz w:val="22"/>
              <w:szCs w:val="22"/>
            </w:rPr>
            <w:tab/>
            <w:t>7</w:t>
          </w:r>
        </w:p>
        <w:p>
          <w:pPr>
            <w:tabs>
              <w:tab w:val="right" w:leader="dot" w:pos="9350"/>
            </w:tabs>
            <w:spacing w:before="100" w:after="40"/>
            <w:ind w:left="0"/>
          </w:pPr>
          <w:r>
            <w:rPr>
              <w:rFonts w:ascii="Calibri" w:cs="Calibri" w:eastAsia="Calibri" w:hAnsi="Calibri"/>
              <w:b/>
              <w:bCs/>
              <w:sz w:val="22"/>
              <w:szCs w:val="22"/>
            </w:rPr>
            <w:t xml:space="preserve">4. Discussion prompts</w:t>
          </w:r>
          <w:r>
            <w:rPr>
              <w:rFonts w:ascii="Calibri" w:cs="Calibri" w:eastAsia="Calibri" w:hAnsi="Calibri"/>
              <w:b/>
              <w:bCs/>
              <w:sz w:val="22"/>
              <w:szCs w:val="22"/>
            </w:rPr>
            <w:tab/>
            <w:t>8</w:t>
          </w:r>
        </w:p>
        <w:p>
          <w:pPr>
            <w:tabs>
              <w:tab w:val="right" w:leader="dot" w:pos="9350"/>
            </w:tabs>
            <w:spacing w:before="100" w:after="40"/>
            <w:ind w:left="0"/>
          </w:pPr>
          <w:r>
            <w:rPr>
              <w:rFonts w:ascii="Calibri" w:cs="Calibri" w:eastAsia="Calibri" w:hAnsi="Calibri"/>
              <w:b/>
              <w:bCs/>
              <w:sz w:val="22"/>
              <w:szCs w:val="22"/>
            </w:rPr>
            <w:t xml:space="preserve">5. Knowledge check</w:t>
          </w:r>
          <w:r>
            <w:rPr>
              <w:rFonts w:ascii="Calibri" w:cs="Calibri" w:eastAsia="Calibri" w:hAnsi="Calibri"/>
              <w:b/>
              <w:bCs/>
              <w:sz w:val="22"/>
              <w:szCs w:val="22"/>
            </w:rPr>
            <w:tab/>
            <w:t>9</w:t>
          </w:r>
        </w:p>
        <w:p>
          <w:pPr>
            <w:tabs>
              <w:tab w:val="right" w:leader="dot" w:pos="9350"/>
            </w:tabs>
            <w:spacing w:before="100" w:after="40"/>
            <w:ind w:left="0"/>
          </w:pPr>
          <w:r>
            <w:rPr>
              <w:rFonts w:ascii="Calibri" w:cs="Calibri" w:eastAsia="Calibri" w:hAnsi="Calibri"/>
              <w:b/>
              <w:bCs/>
              <w:sz w:val="22"/>
              <w:szCs w:val="22"/>
            </w:rPr>
            <w:t xml:space="preserve">6. Takeaways and the capstone</w:t>
          </w:r>
          <w:r>
            <w:rPr>
              <w:rFonts w:ascii="Calibri" w:cs="Calibri" w:eastAsia="Calibri" w:hAnsi="Calibri"/>
              <w:b/>
              <w:bCs/>
              <w:sz w:val="22"/>
              <w:szCs w:val="22"/>
            </w:rPr>
            <w:tab/>
            <w:t>10</w:t>
          </w:r>
        </w:p>
        <w:p>
          <w:pPr>
            <w:tabs>
              <w:tab w:val="right" w:leader="dot" w:pos="9350"/>
            </w:tabs>
            <w:spacing w:before="100" w:after="40"/>
            <w:ind w:left="0"/>
          </w:pPr>
          <w:r>
            <w:rPr>
              <w:rFonts w:ascii="Calibri" w:cs="Calibri" w:eastAsia="Calibri" w:hAnsi="Calibri"/>
              <w:b/>
              <w:bCs/>
              <w:sz w:val="22"/>
              <w:szCs w:val="22"/>
            </w:rPr>
            <w:t xml:space="preserve">7. Notes</w:t>
          </w:r>
          <w:r>
            <w:rPr>
              <w:rFonts w:ascii="Calibri" w:cs="Calibri" w:eastAsia="Calibri" w:hAnsi="Calibri"/>
              <w:b/>
              <w:bCs/>
              <w:sz w:val="22"/>
              <w:szCs w:val="22"/>
            </w:rPr>
            <w:tab/>
            <w:t>11</w:t>
          </w:r>
        </w:p>
        <w:p>
          <w:r>
            <w:fldChar w:fldCharType="end"/>
          </w:r>
        </w:p>
      </w:sdtContent>
    </w:sdt>
    <w:p>
      <w:r>
        <w:br w:type="page"/>
      </w:r>
    </w:p>
    <w:p>
      <w:pPr>
        <w:pStyle w:val="Heading1"/>
        <w:spacing w:after="160" w:before="360"/>
      </w:pPr>
      <w:r>
        <w:rPr>
          <w:rFonts w:ascii="Calibri" w:cs="Calibri" w:eastAsia="Calibri" w:hAnsi="Calibri"/>
          <w:b/>
          <w:bCs/>
          <w:color w:val="7A0019"/>
          <w:sz w:val="32"/>
          <w:szCs w:val="32"/>
        </w:rPr>
        <w:t xml:space="preserve">1. Session map</w:t>
      </w:r>
    </w:p>
    <w:p>
      <w:pPr>
        <w:spacing w:after="140" w:line="276"/>
      </w:pPr>
      <w:r>
        <w:rPr>
          <w:rFonts w:ascii="Calibri" w:cs="Calibri" w:eastAsia="Calibri" w:hAnsi="Calibri"/>
          <w:sz w:val="22"/>
          <w:szCs w:val="22"/>
        </w:rPr>
        <w:t xml:space="preserve">Day 1, Session 2: Long-Term Archival, Data Movement at Scale, and Hybrid Identity. Four hours including a fifteen-minute break.</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98"/>
        <w:gridCol w:w="1310"/>
        <w:gridCol w:w="6552"/>
      </w:tblGrid>
      <w:tr>
        <w:trPr>
          <w:tblHeader/>
        </w:trPr>
        <w:tc>
          <w:tcPr>
            <w:tcW w:type="dxa" w:w="1498"/>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Block</w:t>
            </w:r>
          </w:p>
        </w:tc>
        <w:tc>
          <w:tcPr>
            <w:tcW w:type="dxa" w:w="131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Minutes</w:t>
            </w:r>
          </w:p>
        </w:tc>
        <w:tc>
          <w:tcPr>
            <w:tcW w:type="dxa" w:w="6552"/>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Activity</w:t>
            </w:r>
          </w:p>
        </w:tc>
      </w:tr>
      <w:tr>
        <w:trPr>
          <w:cantSplit/>
        </w:trPr>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Block 1</w:t>
            </w:r>
          </w:p>
        </w:tc>
        <w:tc>
          <w:tcPr>
            <w:tcW w:type="dxa" w:w="131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55</w:t>
            </w:r>
          </w:p>
        </w:tc>
        <w:tc>
          <w:tcPr>
            <w:tcW w:type="dxa" w:w="655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Archival strategy and immutability foundations</w:t>
            </w:r>
          </w:p>
        </w:tc>
      </w:tr>
      <w:tr>
        <w:trPr>
          <w:cantSplit/>
        </w:trPr>
        <w:tc>
          <w:tcPr>
            <w:tcW w:type="dxa" w:w="149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Block 2</w:t>
            </w:r>
          </w:p>
        </w:tc>
        <w:tc>
          <w:tcPr>
            <w:tcW w:type="dxa" w:w="131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45</w:t>
            </w:r>
          </w:p>
        </w:tc>
        <w:tc>
          <w:tcPr>
            <w:tcW w:type="dxa" w:w="6552"/>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Data movement tooling and hybrid connectivity</w:t>
            </w:r>
          </w:p>
        </w:tc>
      </w:tr>
      <w:tr>
        <w:trPr>
          <w:cantSplit/>
        </w:trPr>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Break</w:t>
            </w:r>
          </w:p>
        </w:tc>
        <w:tc>
          <w:tcPr>
            <w:tcW w:type="dxa" w:w="131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15</w:t>
            </w:r>
          </w:p>
        </w:tc>
        <w:tc>
          <w:tcPr>
            <w:tcW w:type="dxa" w:w="6552"/>
            <w:tcMar>
              <w:top w:type="dxa" w:w="70"/>
              <w:left w:type="dxa" w:w="100"/>
              <w:bottom w:type="dxa" w:w="70"/>
              <w:right w:type="dxa" w:w="100"/>
            </w:tcMar>
            <w:vAlign w:val="top"/>
          </w:tcPr>
          <w:p>
            <w:pPr>
              <w:spacing w:after="40" w:line="252"/>
            </w:pPr>
          </w:p>
        </w:tc>
      </w:tr>
      <w:tr>
        <w:trPr>
          <w:cantSplit/>
        </w:trPr>
        <w:tc>
          <w:tcPr>
            <w:tcW w:type="dxa" w:w="149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Block 3</w:t>
            </w:r>
          </w:p>
        </w:tc>
        <w:tc>
          <w:tcPr>
            <w:tcW w:type="dxa" w:w="131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50</w:t>
            </w:r>
          </w:p>
        </w:tc>
        <w:tc>
          <w:tcPr>
            <w:tcW w:type="dxa" w:w="6552"/>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Hybrid identity and access governance, with demonstration</w:t>
            </w:r>
          </w:p>
        </w:tc>
      </w:tr>
      <w:tr>
        <w:trPr>
          <w:cantSplit/>
        </w:trPr>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Block 4</w:t>
            </w:r>
          </w:p>
        </w:tc>
        <w:tc>
          <w:tcPr>
            <w:tcW w:type="dxa" w:w="131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75</w:t>
            </w:r>
          </w:p>
        </w:tc>
        <w:tc>
          <w:tcPr>
            <w:tcW w:type="dxa" w:w="655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Hands-on lab and debrief</w:t>
            </w:r>
          </w:p>
        </w:tc>
      </w:tr>
    </w:tbl>
    <w:p>
      <w:pPr>
        <w:spacing w:after="120"/>
      </w:pPr>
    </w:p>
    <w:p>
      <w:pPr>
        <w:pStyle w:val="Heading2"/>
        <w:spacing w:after="120" w:before="280"/>
      </w:pPr>
      <w:r>
        <w:rPr>
          <w:rFonts w:ascii="Calibri" w:cs="Calibri" w:eastAsia="Calibri" w:hAnsi="Calibri"/>
          <w:b/>
          <w:bCs/>
          <w:color w:val="7A0019"/>
          <w:sz w:val="27"/>
          <w:szCs w:val="27"/>
        </w:rPr>
        <w:t xml:space="preserve">1.1 What this session covers</w:t>
      </w:r>
    </w:p>
    <w:p>
      <w:pPr>
        <w:spacing w:after="140" w:line="276"/>
      </w:pPr>
      <w:r>
        <w:rPr>
          <w:rFonts w:ascii="Calibri" w:cs="Calibri" w:eastAsia="Calibri" w:hAnsi="Calibri"/>
          <w:sz w:val="22"/>
          <w:szCs w:val="22"/>
        </w:rPr>
        <w:t xml:space="preserve">Some university datasets carry retention expectations measured in centuries, and much of the data is irreplaceable. This session separates the retention decision (stable for decades, owned by data stewards) from the technology decision (expected to change many times), then builds the technical pattern that makes that separation safe: Archive tier economics, integrity manifests and periodic validation, container-level and version-level WORM, locked versus unlocked policies, and format migration planning.</w:t>
      </w:r>
    </w:p>
    <w:p>
      <w:pPr>
        <w:spacing w:after="140" w:line="276"/>
      </w:pPr>
      <w:r>
        <w:rPr>
          <w:rFonts w:ascii="Calibri" w:cs="Calibri" w:eastAsia="Calibri" w:hAnsi="Calibri"/>
          <w:sz w:val="22"/>
          <w:szCs w:val="22"/>
        </w:rPr>
        <w:t xml:space="preserve">The middle of the session is the practical plan for moving petabytes: AzCopy, Azure Storage Mover, Azure Data Factory, Azure File Sync, and the next-generation Data Box devices, over ExpressRoute or VPN Gateway, with egress modeled before any design routinely pulls data back on premises. The last half is identity: one identity on premises and in the cloud, Azure Files identity sources, Blob RBAC data roles, ABAC conditions on tags, managed identities, and the end of account keys.</w:t>
      </w:r>
    </w:p>
    <w:p>
      <w:pPr>
        <w:pStyle w:val="Heading2"/>
        <w:spacing w:after="120" w:before="280"/>
      </w:pPr>
      <w:r>
        <w:rPr>
          <w:rFonts w:ascii="Calibri" w:cs="Calibri" w:eastAsia="Calibri" w:hAnsi="Calibri"/>
          <w:b/>
          <w:bCs/>
          <w:color w:val="7A0019"/>
          <w:sz w:val="27"/>
          <w:szCs w:val="27"/>
        </w:rPr>
        <w:t xml:space="preserve">1.2 Have ready</w:t>
      </w:r>
    </w:p>
    <w:p>
      <w:pPr>
        <w:pStyle w:val="ListParagraph"/>
        <w:numPr>
          <w:ilvl w:val="0"/>
          <w:numId w:val="2"/>
        </w:numPr>
        <w:spacing w:after="90" w:line="264"/>
      </w:pPr>
      <w:r>
        <w:rPr>
          <w:rFonts w:ascii="Calibri" w:cs="Calibri" w:eastAsia="Calibri" w:hAnsi="Calibri"/>
          <w:sz w:val="22"/>
          <w:szCs w:val="22"/>
        </w:rPr>
        <w:t xml:space="preserve">Your current retention schedule or records policy, even informally: which classes of data must be kept for how long, and who signed it.</w:t>
      </w:r>
    </w:p>
    <w:p>
      <w:pPr>
        <w:pStyle w:val="ListParagraph"/>
        <w:numPr>
          <w:ilvl w:val="0"/>
          <w:numId w:val="2"/>
        </w:numPr>
        <w:spacing w:after="90" w:line="264"/>
      </w:pPr>
      <w:r>
        <w:rPr>
          <w:rFonts w:ascii="Calibri" w:cs="Calibri" w:eastAsia="Calibri" w:hAnsi="Calibri"/>
          <w:sz w:val="22"/>
          <w:szCs w:val="22"/>
        </w:rPr>
        <w:t xml:space="preserve">The Session 1 workbook, especially the account decisions for the satellite archive class; the lab builds that account.</w:t>
      </w:r>
    </w:p>
    <w:p>
      <w:pPr>
        <w:pStyle w:val="ListParagraph"/>
        <w:numPr>
          <w:ilvl w:val="0"/>
          <w:numId w:val="2"/>
        </w:numPr>
        <w:spacing w:after="90" w:line="264"/>
      </w:pPr>
      <w:r>
        <w:rPr>
          <w:rFonts w:ascii="Calibri" w:cs="Calibri" w:eastAsia="Calibri" w:hAnsi="Calibri"/>
          <w:sz w:val="22"/>
          <w:szCs w:val="22"/>
        </w:rPr>
        <w:t xml:space="preserve">A terminal or Cloud Shell signed in to your lab subscription for Block 4.</w:t>
      </w:r>
    </w:p>
    <w:p>
      <w:pPr>
        <w:pStyle w:val="Heading2"/>
        <w:spacing w:after="120" w:before="280"/>
      </w:pPr>
      <w:r>
        <w:rPr>
          <w:rFonts w:ascii="Calibri" w:cs="Calibri" w:eastAsia="Calibri" w:hAnsi="Calibri"/>
          <w:b/>
          <w:bCs/>
          <w:color w:val="7A0019"/>
          <w:sz w:val="27"/>
          <w:szCs w:val="27"/>
        </w:rPr>
        <w:t xml:space="preserve">1.3 Materials you will receive</w:t>
      </w:r>
    </w:p>
    <w:p>
      <w:pPr>
        <w:pStyle w:val="ListParagraph"/>
        <w:numPr>
          <w:ilvl w:val="0"/>
          <w:numId w:val="2"/>
        </w:numPr>
        <w:spacing w:after="90" w:line="264"/>
      </w:pPr>
      <w:r>
        <w:rPr>
          <w:rFonts w:ascii="Calibri" w:cs="Calibri" w:eastAsia="Calibri" w:hAnsi="Calibri"/>
          <w:sz w:val="22"/>
          <w:szCs w:val="22"/>
        </w:rPr>
        <w:t xml:space="preserve">Session 2 deck; demo script </w:t>
      </w:r>
      <w:r>
        <w:rPr>
          <w:rFonts w:ascii="Consolas" w:cs="Consolas" w:eastAsia="Consolas" w:hAnsi="Consolas"/>
          <w:sz w:val="20"/>
          <w:szCs w:val="20"/>
          <w:shd w:fill="F7F3EE" w:color="auto" w:val="clear"/>
        </w:rPr>
        <w:t xml:space="preserve">S02_Demo_Script_Century_Proof_Landing_Zone</w:t>
      </w:r>
    </w:p>
    <w:p>
      <w:pPr>
        <w:pStyle w:val="ListParagraph"/>
        <w:numPr>
          <w:ilvl w:val="0"/>
          <w:numId w:val="2"/>
        </w:numPr>
        <w:spacing w:after="90" w:line="264"/>
      </w:pPr>
      <w:r>
        <w:rPr>
          <w:rFonts w:ascii="Consolas" w:cs="Consolas" w:eastAsia="Consolas" w:hAnsi="Consolas"/>
          <w:sz w:val="20"/>
          <w:szCs w:val="20"/>
          <w:shd w:fill="F7F3EE" w:color="auto" w:val="clear"/>
        </w:rPr>
        <w:t xml:space="preserve">S02_Lab_Guide_Archival_Landing_Zone</w:t>
      </w:r>
      <w:r>
        <w:rPr>
          <w:rFonts w:ascii="Calibri" w:cs="Calibri" w:eastAsia="Calibri" w:hAnsi="Calibri"/>
          <w:sz w:val="22"/>
          <w:szCs w:val="22"/>
        </w:rPr>
        <w:t xml:space="preserve"> (participants) and </w:t>
      </w:r>
      <w:r>
        <w:rPr>
          <w:rFonts w:ascii="Consolas" w:cs="Consolas" w:eastAsia="Consolas" w:hAnsi="Consolas"/>
          <w:sz w:val="20"/>
          <w:szCs w:val="20"/>
          <w:shd w:fill="F7F3EE" w:color="auto" w:val="clear"/>
        </w:rPr>
        <w:t xml:space="preserve">S02_Lab_Solution_Archival_Landing_Zone</w:t>
      </w:r>
      <w:r>
        <w:rPr>
          <w:rFonts w:ascii="Calibri" w:cs="Calibri" w:eastAsia="Calibri" w:hAnsi="Calibri"/>
          <w:sz w:val="22"/>
          <w:szCs w:val="22"/>
        </w:rPr>
        <w:t xml:space="preserve"> (instructor)</w:t>
      </w:r>
    </w:p>
    <w:p>
      <w:pPr>
        <w:pStyle w:val="ListParagraph"/>
        <w:numPr>
          <w:ilvl w:val="0"/>
          <w:numId w:val="2"/>
        </w:numPr>
        <w:spacing w:after="90" w:line="264"/>
      </w:pPr>
      <w:r>
        <w:rPr>
          <w:rFonts w:ascii="Calibri" w:cs="Calibri" w:eastAsia="Calibri" w:hAnsi="Calibri"/>
          <w:sz w:val="22"/>
          <w:szCs w:val="22"/>
        </w:rPr>
        <w:t xml:space="preserve">Data movement decision tree and the sample integrity manifest and validation script (Reference Card Pack and the Bicep bundle)</w:t>
      </w:r>
    </w:p>
    <w:p>
      <w:pPr>
        <w:pStyle w:val="ListParagraph"/>
        <w:numPr>
          <w:ilvl w:val="0"/>
          <w:numId w:val="2"/>
        </w:numPr>
        <w:spacing w:after="90" w:line="264"/>
      </w:pPr>
      <w:r>
        <w:rPr>
          <w:rFonts w:ascii="Calibri" w:cs="Calibri" w:eastAsia="Calibri" w:hAnsi="Calibri"/>
          <w:sz w:val="22"/>
          <w:szCs w:val="22"/>
        </w:rPr>
        <w:t xml:space="preserve">This workbook (participants) and the facilitator guide (instructor)</w:t>
      </w:r>
    </w:p>
    <w:p>
      <w:pPr>
        <w:pStyle w:val="Heading1"/>
        <w:spacing w:after="160" w:before="360"/>
      </w:pPr>
      <w:r>
        <w:rPr>
          <w:rFonts w:ascii="Calibri" w:cs="Calibri" w:eastAsia="Calibri" w:hAnsi="Calibri"/>
          <w:b/>
          <w:bCs/>
          <w:color w:val="7A0019"/>
          <w:sz w:val="32"/>
          <w:szCs w:val="32"/>
        </w:rPr>
        <w:t xml:space="preserve">2. Block 1 checkpoint: three archival questions</w:t>
      </w:r>
    </w:p>
    <w:p>
      <w:pPr>
        <w:spacing w:after="140" w:line="276"/>
      </w:pPr>
      <w:r>
        <w:rPr>
          <w:rFonts w:ascii="Calibri" w:cs="Calibri" w:eastAsia="Calibri" w:hAnsi="Calibri"/>
          <w:sz w:val="22"/>
          <w:szCs w:val="22"/>
        </w:rPr>
        <w:t xml:space="preserve">Answer for the university's estate as you know it. Short answers are fine; the room compares them.</w:t>
      </w:r>
    </w:p>
    <w:p>
      <w:pPr>
        <w:pStyle w:val="Heading3"/>
        <w:spacing w:after="80" w:before="200"/>
      </w:pPr>
      <w:r>
        <w:rPr>
          <w:rFonts w:ascii="Calibri" w:cs="Calibri" w:eastAsia="Calibri" w:hAnsi="Calibri"/>
          <w:b/>
          <w:bCs/>
          <w:color w:val="595959"/>
          <w:sz w:val="23"/>
          <w:szCs w:val="23"/>
        </w:rPr>
        <w:t xml:space="preserve">Question 1</w:t>
      </w:r>
    </w:p>
    <w:p>
      <w:pPr>
        <w:spacing w:after="140" w:line="276"/>
      </w:pPr>
      <w:r>
        <w:rPr>
          <w:rFonts w:ascii="Calibri" w:cs="Calibri" w:eastAsia="Calibri" w:hAnsi="Calibri"/>
          <w:sz w:val="22"/>
          <w:szCs w:val="22"/>
        </w:rPr>
        <w:t xml:space="preserve">Who owns the retention decision for each dataset, and how is it recorded so that it survives staff turnover and technology change?</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3"/>
        <w:spacing w:after="80" w:before="200"/>
      </w:pPr>
      <w:r>
        <w:rPr>
          <w:rFonts w:ascii="Calibri" w:cs="Calibri" w:eastAsia="Calibri" w:hAnsi="Calibri"/>
          <w:b/>
          <w:bCs/>
          <w:color w:val="595959"/>
          <w:sz w:val="23"/>
          <w:szCs w:val="23"/>
        </w:rPr>
        <w:t xml:space="preserve">Question 2</w:t>
      </w:r>
    </w:p>
    <w:p>
      <w:pPr>
        <w:spacing w:after="140" w:line="276"/>
      </w:pPr>
      <w:r>
        <w:rPr>
          <w:rFonts w:ascii="Calibri" w:cs="Calibri" w:eastAsia="Calibri" w:hAnsi="Calibri"/>
          <w:sz w:val="22"/>
          <w:szCs w:val="22"/>
        </w:rPr>
        <w:t xml:space="preserve">How will you prove integrity in 20 years? Name the artifact, where it lives, and how often it is checked.</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3"/>
        <w:spacing w:after="80" w:before="200"/>
      </w:pPr>
      <w:r>
        <w:rPr>
          <w:rFonts w:ascii="Calibri" w:cs="Calibri" w:eastAsia="Calibri" w:hAnsi="Calibri"/>
          <w:b/>
          <w:bCs/>
          <w:color w:val="595959"/>
          <w:sz w:val="23"/>
          <w:szCs w:val="23"/>
        </w:rPr>
        <w:t xml:space="preserve">Question 3</w:t>
      </w:r>
    </w:p>
    <w:p>
      <w:pPr>
        <w:spacing w:after="140" w:line="276"/>
      </w:pPr>
      <w:r>
        <w:rPr>
          <w:rFonts w:ascii="Calibri" w:cs="Calibri" w:eastAsia="Calibri" w:hAnsi="Calibri"/>
          <w:sz w:val="22"/>
          <w:szCs w:val="22"/>
        </w:rPr>
        <w:t xml:space="preserve">Which datasets justify a locked policy, and which a legal hold? What are the consequences of locking at the wrong scope or interval?</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1"/>
        <w:spacing w:after="160" w:before="360"/>
      </w:pPr>
      <w:r>
        <w:rPr>
          <w:rFonts w:ascii="Calibri" w:cs="Calibri" w:eastAsia="Calibri" w:hAnsi="Calibri"/>
          <w:b/>
          <w:bCs/>
          <w:color w:val="7A0019"/>
          <w:sz w:val="32"/>
          <w:szCs w:val="32"/>
        </w:rPr>
        <w:t xml:space="preserve">3. Debrief design sprint: your archival landing zone</w:t>
      </w:r>
    </w:p>
    <w:p>
      <w:pPr>
        <w:spacing w:after="140" w:line="276"/>
      </w:pPr>
      <w:r>
        <w:rPr>
          <w:rFonts w:ascii="Calibri" w:cs="Calibri" w:eastAsia="Calibri" w:hAnsi="Calibri"/>
          <w:sz w:val="22"/>
          <w:szCs w:val="22"/>
        </w:rPr>
        <w:t xml:space="preserve">The lab built one landing zone with synthetic data. In the twenty-minute debrief, each group applies the pattern to the university's estate: choose three real archival datasets or collections (described in your own words), decide their retention class, policy type and lock decision, movement path into Azure, and the identity model that governs who reads them.</w:t>
      </w:r>
    </w:p>
    <w:p>
      <w:pPr>
        <w:spacing w:after="140" w:line="276"/>
      </w:pPr>
      <w:r>
        <w:rPr>
          <w:rFonts w:ascii="Calibri" w:cs="Calibri" w:eastAsia="Calibri" w:hAnsi="Calibri"/>
          <w:sz w:val="22"/>
          <w:szCs w:val="22"/>
        </w:rPr>
        <w:t xml:space="preserve">Use the lab's results as evidence: how long rehydration took, which refusal you saw, and what the ABAC condition did.</w:t>
      </w:r>
    </w:p>
    <w:p>
      <w:pPr>
        <w:pStyle w:val="Heading2"/>
        <w:spacing w:after="120" w:before="280"/>
      </w:pPr>
      <w:r>
        <w:rPr>
          <w:rFonts w:ascii="Calibri" w:cs="Calibri" w:eastAsia="Calibri" w:hAnsi="Calibri"/>
          <w:b/>
          <w:bCs/>
          <w:color w:val="7A0019"/>
          <w:sz w:val="27"/>
          <w:szCs w:val="27"/>
        </w:rPr>
        <w:t xml:space="preserve">3.1 Steps</w:t>
      </w:r>
    </w:p>
    <w:p>
      <w:pPr>
        <w:pStyle w:val="ListParagraph"/>
        <w:numPr>
          <w:ilvl w:val="0"/>
          <w:numId w:val="3"/>
        </w:numPr>
        <w:spacing w:after="90" w:line="264"/>
      </w:pPr>
      <w:r>
        <w:rPr>
          <w:rFonts w:ascii="Calibri" w:cs="Calibri" w:eastAsia="Calibri" w:hAnsi="Calibri"/>
          <w:sz w:val="22"/>
          <w:szCs w:val="22"/>
        </w:rPr>
        <w:t xml:space="preserve">Record your lab observations in Worksheet 1 (rehydration elapsed time, refusal message, ABAC result).</w:t>
      </w:r>
    </w:p>
    <w:p>
      <w:pPr>
        <w:pStyle w:val="ListParagraph"/>
        <w:numPr>
          <w:ilvl w:val="0"/>
          <w:numId w:val="3"/>
        </w:numPr>
        <w:spacing w:after="90" w:line="264"/>
      </w:pPr>
      <w:r>
        <w:rPr>
          <w:rFonts w:ascii="Calibri" w:cs="Calibri" w:eastAsia="Calibri" w:hAnsi="Calibri"/>
          <w:sz w:val="22"/>
          <w:szCs w:val="22"/>
        </w:rPr>
        <w:t xml:space="preserve">Pick three archival datasets or collections the group knows and complete Worksheet 2.</w:t>
      </w:r>
    </w:p>
    <w:p>
      <w:pPr>
        <w:pStyle w:val="ListParagraph"/>
        <w:numPr>
          <w:ilvl w:val="0"/>
          <w:numId w:val="3"/>
        </w:numPr>
        <w:spacing w:after="90" w:line="264"/>
      </w:pPr>
      <w:r>
        <w:rPr>
          <w:rFonts w:ascii="Calibri" w:cs="Calibri" w:eastAsia="Calibri" w:hAnsi="Calibri"/>
          <w:sz w:val="22"/>
          <w:szCs w:val="22"/>
        </w:rPr>
        <w:t xml:space="preserve">For the largest of the three, complete Worksheet 3: the movement plan and the identity model.</w:t>
      </w:r>
    </w:p>
    <w:p>
      <w:pPr>
        <w:pStyle w:val="ListParagraph"/>
        <w:numPr>
          <w:ilvl w:val="0"/>
          <w:numId w:val="3"/>
        </w:numPr>
        <w:spacing w:after="90" w:line="264"/>
      </w:pPr>
      <w:r>
        <w:rPr>
          <w:rFonts w:ascii="Calibri" w:cs="Calibri" w:eastAsia="Calibri" w:hAnsi="Calibri"/>
          <w:sz w:val="22"/>
          <w:szCs w:val="22"/>
        </w:rPr>
        <w:t xml:space="preserve">Be ready to state one guarantee the platform now gives you that process gave you before.</w:t>
      </w:r>
    </w:p>
    <w:p>
      <w:pPr>
        <w:pStyle w:val="Heading2"/>
        <w:spacing w:after="120" w:before="280"/>
      </w:pPr>
      <w:r>
        <w:rPr>
          <w:rFonts w:ascii="Calibri" w:cs="Calibri" w:eastAsia="Calibri" w:hAnsi="Calibri"/>
          <w:b/>
          <w:bCs/>
          <w:color w:val="7A0019"/>
          <w:sz w:val="27"/>
          <w:szCs w:val="27"/>
        </w:rPr>
        <w:t xml:space="preserve">3.2 Worksheet: lab evidence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744"/>
        <w:gridCol w:w="5616"/>
      </w:tblGrid>
      <w:tr>
        <w:trPr>
          <w:tblHeader/>
        </w:trPr>
        <w:tc>
          <w:tcPr>
            <w:tcW w:type="dxa" w:w="374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Observation</w:t>
            </w:r>
          </w:p>
        </w:tc>
        <w:tc>
          <w:tcPr>
            <w:tcW w:type="dxa" w:w="5616"/>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Your result</w:t>
            </w:r>
          </w:p>
        </w:tc>
      </w:tr>
      <w:tr>
        <w:trPr>
          <w:cantSplit/>
        </w:trPr>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Time from rehydration request to completion (or elapsed so far)</w:t>
            </w:r>
          </w:p>
          <w:p>
            <w:pPr>
              <w:spacing w:after="0" w:line="400"/>
            </w:pPr>
            <w:r>
              <w:rPr>
                <w:sz w:val="20"/>
                <w:szCs w:val="20"/>
              </w:rPr>
              <w:t xml:space="preserve"> </w:t>
            </w:r>
          </w:p>
        </w:tc>
        <w:tc>
          <w:tcPr>
            <w:tcW w:type="dxa" w:w="5616"/>
            <w:tcMar>
              <w:top w:type="dxa" w:w="70"/>
              <w:left w:type="dxa" w:w="100"/>
              <w:bottom w:type="dxa" w:w="70"/>
              <w:right w:type="dxa" w:w="100"/>
            </w:tcMar>
            <w:vAlign w:val="top"/>
          </w:tcPr>
          <w:p>
            <w:pPr>
              <w:spacing w:after="40" w:line="252"/>
            </w:pPr>
          </w:p>
          <w:p>
            <w:pPr>
              <w:spacing w:after="0" w:line="400"/>
            </w:pPr>
            <w:r>
              <w:rPr>
                <w:sz w:val="20"/>
                <w:szCs w:val="20"/>
              </w:rPr>
              <w:t xml:space="preserve"> </w:t>
            </w:r>
          </w:p>
        </w:tc>
      </w:tr>
      <w:tr>
        <w:trPr>
          <w:cantSplit/>
        </w:trPr>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First line of the delete refusal</w:t>
            </w:r>
          </w:p>
          <w:p>
            <w:pPr>
              <w:spacing w:after="0" w:line="400"/>
            </w:pPr>
            <w:r>
              <w:rPr>
                <w:sz w:val="20"/>
                <w:szCs w:val="20"/>
              </w:rPr>
              <w:t xml:space="preserve"> </w:t>
            </w:r>
          </w:p>
        </w:tc>
        <w:tc>
          <w:tcPr>
            <w:tcW w:type="dxa" w:w="5616"/>
            <w:tcMar>
              <w:top w:type="dxa" w:w="70"/>
              <w:left w:type="dxa" w:w="100"/>
              <w:bottom w:type="dxa" w:w="70"/>
              <w:right w:type="dxa" w:w="100"/>
            </w:tcMar>
            <w:vAlign w:val="top"/>
          </w:tcPr>
          <w:p>
            <w:pPr>
              <w:spacing w:after="40" w:line="252"/>
            </w:pPr>
          </w:p>
          <w:p>
            <w:pPr>
              <w:spacing w:after="0" w:line="400"/>
            </w:pPr>
            <w:r>
              <w:rPr>
                <w:sz w:val="20"/>
                <w:szCs w:val="20"/>
              </w:rPr>
              <w:t xml:space="preserve"> </w:t>
            </w:r>
          </w:p>
        </w:tc>
      </w:tr>
      <w:tr>
        <w:trPr>
          <w:cantSplit/>
        </w:trPr>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What the ABAC condition allowed and denied</w:t>
            </w:r>
          </w:p>
          <w:p>
            <w:pPr>
              <w:spacing w:after="0" w:line="400"/>
            </w:pPr>
            <w:r>
              <w:rPr>
                <w:sz w:val="20"/>
                <w:szCs w:val="20"/>
              </w:rPr>
              <w:t xml:space="preserve"> </w:t>
            </w:r>
          </w:p>
        </w:tc>
        <w:tc>
          <w:tcPr>
            <w:tcW w:type="dxa" w:w="5616"/>
            <w:tcMar>
              <w:top w:type="dxa" w:w="70"/>
              <w:left w:type="dxa" w:w="100"/>
              <w:bottom w:type="dxa" w:w="70"/>
              <w:right w:type="dxa" w:w="100"/>
            </w:tcMar>
            <w:vAlign w:val="top"/>
          </w:tcPr>
          <w:p>
            <w:pPr>
              <w:spacing w:after="40" w:line="252"/>
            </w:pPr>
          </w:p>
          <w:p>
            <w:pPr>
              <w:spacing w:after="0" w:line="400"/>
            </w:pPr>
            <w:r>
              <w:rPr>
                <w:sz w:val="20"/>
                <w:szCs w:val="20"/>
              </w:rPr>
              <w:t xml:space="preserve"> </w:t>
            </w:r>
          </w:p>
        </w:tc>
      </w:tr>
      <w:tr>
        <w:trPr>
          <w:cantSplit/>
        </w:trPr>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Validation result and matched count</w:t>
            </w:r>
          </w:p>
          <w:p>
            <w:pPr>
              <w:spacing w:after="0" w:line="400"/>
            </w:pPr>
            <w:r>
              <w:rPr>
                <w:sz w:val="20"/>
                <w:szCs w:val="20"/>
              </w:rPr>
              <w:t xml:space="preserve"> </w:t>
            </w:r>
          </w:p>
        </w:tc>
        <w:tc>
          <w:tcPr>
            <w:tcW w:type="dxa" w:w="5616"/>
            <w:tcMar>
              <w:top w:type="dxa" w:w="70"/>
              <w:left w:type="dxa" w:w="100"/>
              <w:bottom w:type="dxa" w:w="70"/>
              <w:right w:type="dxa" w:w="100"/>
            </w:tcMar>
            <w:vAlign w:val="top"/>
          </w:tcPr>
          <w:p>
            <w:pPr>
              <w:spacing w:after="40" w:line="252"/>
            </w:pPr>
          </w:p>
          <w:p>
            <w:pPr>
              <w:spacing w:after="0" w:line="400"/>
            </w:pPr>
            <w:r>
              <w:rPr>
                <w:sz w:val="20"/>
                <w:szCs w:val="20"/>
              </w:rPr>
              <w:t xml:space="preserve"> </w:t>
            </w:r>
          </w:p>
        </w:tc>
      </w:tr>
    </w:tbl>
    <w:p>
      <w:pPr>
        <w:spacing w:after="120"/>
      </w:pPr>
    </w:p>
    <w:p>
      <w:pPr>
        <w:pStyle w:val="Heading2"/>
        <w:spacing w:after="120" w:before="280"/>
      </w:pPr>
      <w:r>
        <w:rPr>
          <w:rFonts w:ascii="Calibri" w:cs="Calibri" w:eastAsia="Calibri" w:hAnsi="Calibri"/>
          <w:b/>
          <w:bCs/>
          <w:color w:val="7A0019"/>
          <w:sz w:val="27"/>
          <w:szCs w:val="27"/>
        </w:rPr>
        <w:t xml:space="preserve">3.3 Worksheet: three archival datasets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59"/>
        <w:gridCol w:w="2434"/>
        <w:gridCol w:w="2434"/>
        <w:gridCol w:w="2434"/>
      </w:tblGrid>
      <w:tr>
        <w:trPr>
          <w:tblHeader/>
        </w:trPr>
        <w:tc>
          <w:tcPr>
            <w:tcW w:type="dxa" w:w="2059"/>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Decision</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Dataset 1</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Dataset 2</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Dataset 3</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Dataset (your words) and approximate size</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Retention class and years; who owns it</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Policy type (container-level or version-level) and interval</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Lock decision and legal hold (yes or no, why)</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Tier path (Cold floor or Archive) and small-object handling</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Integrity: manifest cadence and where the second copy lives</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bl>
    <w:p>
      <w:pPr>
        <w:spacing w:after="120"/>
      </w:pPr>
    </w:p>
    <w:p>
      <w:pPr>
        <w:pStyle w:val="Heading2"/>
        <w:spacing w:after="120" w:before="280"/>
      </w:pPr>
      <w:r>
        <w:rPr>
          <w:rFonts w:ascii="Calibri" w:cs="Calibri" w:eastAsia="Calibri" w:hAnsi="Calibri"/>
          <w:b/>
          <w:bCs/>
          <w:color w:val="7A0019"/>
          <w:sz w:val="27"/>
          <w:szCs w:val="27"/>
        </w:rPr>
        <w:t xml:space="preserve">3.4 Worksheet: movement and identity for the largest dataset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744"/>
        <w:gridCol w:w="5616"/>
      </w:tblGrid>
      <w:tr>
        <w:trPr>
          <w:tblHeader/>
        </w:trPr>
        <w:tc>
          <w:tcPr>
            <w:tcW w:type="dxa" w:w="374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Decision</w:t>
            </w:r>
          </w:p>
        </w:tc>
        <w:tc>
          <w:tcPr>
            <w:tcW w:type="dxa" w:w="5616"/>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Your answer</w:t>
            </w:r>
          </w:p>
        </w:tc>
      </w:tr>
      <w:tr>
        <w:trPr>
          <w:cantSplit/>
        </w:trPr>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Volume, timeline, and available bandwidth</w:t>
            </w:r>
          </w:p>
          <w:p>
            <w:pPr>
              <w:spacing w:after="0" w:line="400"/>
            </w:pPr>
            <w:r>
              <w:rPr>
                <w:sz w:val="20"/>
                <w:szCs w:val="20"/>
              </w:rPr>
              <w:t xml:space="preserve"> </w:t>
            </w:r>
          </w:p>
          <w:p>
            <w:pPr>
              <w:spacing w:after="0" w:line="400"/>
            </w:pPr>
            <w:r>
              <w:rPr>
                <w:sz w:val="20"/>
                <w:szCs w:val="20"/>
              </w:rPr>
              <w:t xml:space="preserve"> </w:t>
            </w:r>
          </w:p>
        </w:tc>
        <w:tc>
          <w:tcPr>
            <w:tcW w:type="dxa" w:w="561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Tool: AzCopy, Storage Mover, Data Factory, File Sync, or Data Box (which device and how many)</w:t>
            </w:r>
          </w:p>
          <w:p>
            <w:pPr>
              <w:spacing w:after="0" w:line="400"/>
            </w:pPr>
            <w:r>
              <w:rPr>
                <w:sz w:val="20"/>
                <w:szCs w:val="20"/>
              </w:rPr>
              <w:t xml:space="preserve"> </w:t>
            </w:r>
          </w:p>
          <w:p>
            <w:pPr>
              <w:spacing w:after="0" w:line="400"/>
            </w:pPr>
            <w:r>
              <w:rPr>
                <w:sz w:val="20"/>
                <w:szCs w:val="20"/>
              </w:rPr>
              <w:t xml:space="preserve"> </w:t>
            </w:r>
          </w:p>
        </w:tc>
        <w:tc>
          <w:tcPr>
            <w:tcW w:type="dxa" w:w="561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Connectivity: ExpressRoute (peering type) or VPN Gateway; egress expected</w:t>
            </w:r>
          </w:p>
          <w:p>
            <w:pPr>
              <w:spacing w:after="0" w:line="400"/>
            </w:pPr>
            <w:r>
              <w:rPr>
                <w:sz w:val="20"/>
                <w:szCs w:val="20"/>
              </w:rPr>
              <w:t xml:space="preserve"> </w:t>
            </w:r>
          </w:p>
          <w:p>
            <w:pPr>
              <w:spacing w:after="0" w:line="400"/>
            </w:pPr>
            <w:r>
              <w:rPr>
                <w:sz w:val="20"/>
                <w:szCs w:val="20"/>
              </w:rPr>
              <w:t xml:space="preserve"> </w:t>
            </w:r>
          </w:p>
        </w:tc>
        <w:tc>
          <w:tcPr>
            <w:tcW w:type="dxa" w:w="561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Identity source for file shares (AD DS, Entra Domain Services, Entra Kerberos) or Blob RBAC</w:t>
            </w:r>
          </w:p>
          <w:p>
            <w:pPr>
              <w:spacing w:after="0" w:line="400"/>
            </w:pPr>
            <w:r>
              <w:rPr>
                <w:sz w:val="20"/>
                <w:szCs w:val="20"/>
              </w:rPr>
              <w:t xml:space="preserve"> </w:t>
            </w:r>
          </w:p>
          <w:p>
            <w:pPr>
              <w:spacing w:after="0" w:line="400"/>
            </w:pPr>
            <w:r>
              <w:rPr>
                <w:sz w:val="20"/>
                <w:szCs w:val="20"/>
              </w:rPr>
              <w:t xml:space="preserve"> </w:t>
            </w:r>
          </w:p>
        </w:tc>
        <w:tc>
          <w:tcPr>
            <w:tcW w:type="dxa" w:w="561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The ABAC condition in words (role, action, attribute, value)</w:t>
            </w:r>
          </w:p>
          <w:p>
            <w:pPr>
              <w:spacing w:after="0" w:line="400"/>
            </w:pPr>
            <w:r>
              <w:rPr>
                <w:sz w:val="20"/>
                <w:szCs w:val="20"/>
              </w:rPr>
              <w:t xml:space="preserve"> </w:t>
            </w:r>
          </w:p>
          <w:p>
            <w:pPr>
              <w:spacing w:after="0" w:line="400"/>
            </w:pPr>
            <w:r>
              <w:rPr>
                <w:sz w:val="20"/>
                <w:szCs w:val="20"/>
              </w:rPr>
              <w:t xml:space="preserve"> </w:t>
            </w:r>
          </w:p>
        </w:tc>
        <w:tc>
          <w:tcPr>
            <w:tcW w:type="dxa" w:w="561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How keys and SAS are governed (user delegation SAS, shared key disabled)</w:t>
            </w:r>
          </w:p>
          <w:p>
            <w:pPr>
              <w:spacing w:after="0" w:line="400"/>
            </w:pPr>
            <w:r>
              <w:rPr>
                <w:sz w:val="20"/>
                <w:szCs w:val="20"/>
              </w:rPr>
              <w:t xml:space="preserve"> </w:t>
            </w:r>
          </w:p>
          <w:p>
            <w:pPr>
              <w:spacing w:after="0" w:line="400"/>
            </w:pPr>
            <w:r>
              <w:rPr>
                <w:sz w:val="20"/>
                <w:szCs w:val="20"/>
              </w:rPr>
              <w:t xml:space="preserve"> </w:t>
            </w:r>
          </w:p>
        </w:tc>
        <w:tc>
          <w:tcPr>
            <w:tcW w:type="dxa" w:w="561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bl>
    <w:p>
      <w:pPr>
        <w:spacing w:after="120"/>
      </w:pPr>
    </w:p>
    <w:p>
      <w:pPr>
        <w:pStyle w:val="Heading2"/>
        <w:spacing w:after="120" w:before="280"/>
      </w:pPr>
      <w:r>
        <w:rPr>
          <w:rFonts w:ascii="Calibri" w:cs="Calibri" w:eastAsia="Calibri" w:hAnsi="Calibri"/>
          <w:b/>
          <w:bCs/>
          <w:color w:val="7A0019"/>
          <w:sz w:val="27"/>
          <w:szCs w:val="27"/>
        </w:rPr>
        <w:t xml:space="preserve">3.5 What you present</w:t>
      </w:r>
    </w:p>
    <w:p>
      <w:pPr>
        <w:pStyle w:val="ListParagraph"/>
        <w:numPr>
          <w:ilvl w:val="0"/>
          <w:numId w:val="2"/>
        </w:numPr>
        <w:spacing w:after="90" w:line="264"/>
      </w:pPr>
      <w:r>
        <w:rPr>
          <w:rFonts w:ascii="Calibri" w:cs="Calibri" w:eastAsia="Calibri" w:hAnsi="Calibri"/>
          <w:sz w:val="22"/>
          <w:szCs w:val="22"/>
        </w:rPr>
        <w:t xml:space="preserve">Three datasets with retention class, policy, lock decision, and integrity plan.</w:t>
      </w:r>
    </w:p>
    <w:p>
      <w:pPr>
        <w:pStyle w:val="ListParagraph"/>
        <w:numPr>
          <w:ilvl w:val="0"/>
          <w:numId w:val="2"/>
        </w:numPr>
        <w:spacing w:after="90" w:line="264"/>
      </w:pPr>
      <w:r>
        <w:rPr>
          <w:rFonts w:ascii="Calibri" w:cs="Calibri" w:eastAsia="Calibri" w:hAnsi="Calibri"/>
          <w:sz w:val="22"/>
          <w:szCs w:val="22"/>
        </w:rPr>
        <w:t xml:space="preserve">One movement and identity plan for the largest dataset.</w:t>
      </w:r>
    </w:p>
    <w:p>
      <w:pPr>
        <w:pStyle w:val="ListParagraph"/>
        <w:numPr>
          <w:ilvl w:val="0"/>
          <w:numId w:val="2"/>
        </w:numPr>
        <w:spacing w:after="90" w:line="264"/>
      </w:pPr>
      <w:r>
        <w:rPr>
          <w:rFonts w:ascii="Calibri" w:cs="Calibri" w:eastAsia="Calibri" w:hAnsi="Calibri"/>
          <w:sz w:val="22"/>
          <w:szCs w:val="22"/>
        </w:rPr>
        <w:t xml:space="preserve">One sentence: the guarantee the platform now gives you that process gave you before.</w:t>
      </w:r>
    </w:p>
    <w:p>
      <w:pPr>
        <w:pStyle w:val="Heading2"/>
        <w:spacing w:after="120" w:before="280"/>
      </w:pPr>
      <w:r>
        <w:rPr>
          <w:rFonts w:ascii="Calibri" w:cs="Calibri" w:eastAsia="Calibri" w:hAnsi="Calibri"/>
          <w:b/>
          <w:bCs/>
          <w:color w:val="7A0019"/>
          <w:sz w:val="27"/>
          <w:szCs w:val="27"/>
        </w:rPr>
        <w:t xml:space="preserve">3.6 How your design will be critiqued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59"/>
        <w:gridCol w:w="3650"/>
        <w:gridCol w:w="3650"/>
      </w:tblGrid>
      <w:tr>
        <w:trPr>
          <w:tblHeader/>
        </w:trPr>
        <w:tc>
          <w:tcPr>
            <w:tcW w:type="dxa" w:w="2059"/>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Lens</w:t>
            </w:r>
          </w:p>
        </w:tc>
        <w:tc>
          <w:tcPr>
            <w:tcW w:type="dxa" w:w="365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Meets</w:t>
            </w:r>
          </w:p>
        </w:tc>
        <w:tc>
          <w:tcPr>
            <w:tcW w:type="dxa" w:w="365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Exceeds</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Reliability</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Integrity manifest with two copies and a validation cadence</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Validation records kept as audit evidence; migration rule stated</w:t>
            </w:r>
          </w:p>
        </w:tc>
      </w:tr>
      <w:tr>
        <w:trPr>
          <w:cantSplit/>
        </w:trPr>
        <w:tc>
          <w:tcPr>
            <w:tcW w:type="dxa" w:w="2059"/>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Security</w:t>
            </w:r>
          </w:p>
        </w:tc>
        <w:tc>
          <w:tcPr>
            <w:tcW w:type="dxa" w:w="365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Identity-based access, no keys, ABAC condition stated</w:t>
            </w:r>
          </w:p>
        </w:tc>
        <w:tc>
          <w:tcPr>
            <w:tcW w:type="dxa" w:w="365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Private endpoints over the hybrid link; user delegation SAS only</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Cost optimization</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Archive versus Cold floor justified by object size and access</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Rehydration tests and format migrations budgeted as known recurring costs</w:t>
            </w:r>
          </w:p>
        </w:tc>
      </w:tr>
      <w:tr>
        <w:trPr>
          <w:cantSplit/>
        </w:trPr>
        <w:tc>
          <w:tcPr>
            <w:tcW w:type="dxa" w:w="2059"/>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Operational excellence</w:t>
            </w:r>
          </w:p>
        </w:tc>
        <w:tc>
          <w:tcPr>
            <w:tcW w:type="dxa" w:w="365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Movement tool chosen from volume, timeline, and network</w:t>
            </w:r>
          </w:p>
        </w:tc>
        <w:tc>
          <w:tcPr>
            <w:tcW w:type="dxa" w:w="365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Data Box count and timeline computed; cutover plan stated</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Performance efficiency</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Small files bundled before archiving</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ExpressRoute peering type matched to private endpoints</w:t>
            </w:r>
          </w:p>
        </w:tc>
      </w:tr>
    </w:tbl>
    <w:p>
      <w:pPr>
        <w:spacing w:after="120"/>
      </w:pPr>
    </w:p>
    <w:p>
      <w:pPr>
        <w:pStyle w:val="Heading1"/>
        <w:spacing w:after="160" w:before="360"/>
      </w:pPr>
      <w:r>
        <w:rPr>
          <w:rFonts w:ascii="Calibri" w:cs="Calibri" w:eastAsia="Calibri" w:hAnsi="Calibri"/>
          <w:b/>
          <w:bCs/>
          <w:color w:val="7A0019"/>
          <w:sz w:val="32"/>
          <w:szCs w:val="32"/>
        </w:rPr>
        <w:t xml:space="preserve">4. Discussion prompts</w:t>
      </w:r>
    </w:p>
    <w:p>
      <w:pPr>
        <w:spacing w:after="140" w:line="276"/>
      </w:pPr>
      <w:r>
        <w:rPr>
          <w:rFonts w:ascii="Calibri" w:cs="Calibri" w:eastAsia="Calibri" w:hAnsi="Calibri"/>
          <w:sz w:val="22"/>
          <w:szCs w:val="22"/>
        </w:rPr>
        <w:t xml:space="preserve">Work through these in your group or with a neighbor during the time the facilitator calls out. Write enough that you can defend the position in the room.</w:t>
      </w:r>
    </w:p>
    <w:p>
      <w:pPr>
        <w:pStyle w:val="Heading3"/>
        <w:spacing w:after="80" w:before="200"/>
      </w:pPr>
      <w:r>
        <w:rPr>
          <w:rFonts w:ascii="Calibri" w:cs="Calibri" w:eastAsia="Calibri" w:hAnsi="Calibri"/>
          <w:b/>
          <w:bCs/>
          <w:color w:val="595959"/>
          <w:sz w:val="23"/>
          <w:szCs w:val="23"/>
        </w:rPr>
        <w:t xml:space="preserve">Prompt 1</w:t>
      </w:r>
    </w:p>
    <w:p>
      <w:pPr>
        <w:spacing w:after="140" w:line="276"/>
      </w:pPr>
      <w:r>
        <w:rPr>
          <w:rFonts w:ascii="Calibri" w:cs="Calibri" w:eastAsia="Calibri" w:hAnsi="Calibri"/>
          <w:sz w:val="22"/>
          <w:szCs w:val="22"/>
        </w:rPr>
        <w:t xml:space="preserve">The retention decision and the technology decision: where does the university make them today, and who would notice if they were mixed up?</w:t>
      </w:r>
    </w:p>
    <w:p>
      <w:pPr>
        <w:spacing w:after="140" w:line="276"/>
      </w:pPr>
      <w:r>
        <w:rPr>
          <w:rFonts w:ascii="Calibri" w:cs="Calibri" w:eastAsia="Calibri" w:hAnsi="Calibri"/>
          <w:i/>
          <w:iCs/>
          <w:color w:val="595959"/>
          <w:sz w:val="20"/>
          <w:szCs w:val="20"/>
        </w:rPr>
        <w:t xml:space="preserve">Block 1 framing.</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3"/>
        <w:spacing w:after="80" w:before="200"/>
      </w:pPr>
      <w:r>
        <w:rPr>
          <w:rFonts w:ascii="Calibri" w:cs="Calibri" w:eastAsia="Calibri" w:hAnsi="Calibri"/>
          <w:b/>
          <w:bCs/>
          <w:color w:val="595959"/>
          <w:sz w:val="23"/>
          <w:szCs w:val="23"/>
        </w:rPr>
        <w:t xml:space="preserve">Prompt 2</w:t>
      </w:r>
    </w:p>
    <w:p>
      <w:pPr>
        <w:spacing w:after="140" w:line="276"/>
      </w:pPr>
      <w:r>
        <w:rPr>
          <w:rFonts w:ascii="Calibri" w:cs="Calibri" w:eastAsia="Calibri" w:hAnsi="Calibri"/>
          <w:sz w:val="22"/>
          <w:szCs w:val="22"/>
        </w:rPr>
        <w:t xml:space="preserve">Moving 1.6 PB: compute the timeline over the network you have, then compare with Data Box 525 devices. Where is the crossover?</w:t>
      </w:r>
    </w:p>
    <w:p>
      <w:pPr>
        <w:spacing w:after="140" w:line="276"/>
      </w:pPr>
      <w:r>
        <w:rPr>
          <w:rFonts w:ascii="Calibri" w:cs="Calibri" w:eastAsia="Calibri" w:hAnsi="Calibri"/>
          <w:i/>
          <w:iCs/>
          <w:color w:val="595959"/>
          <w:sz w:val="20"/>
          <w:szCs w:val="20"/>
        </w:rPr>
        <w:t xml:space="preserve">Block 2. Use the available bandwidth you actually have, not the circuit size.</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3"/>
        <w:spacing w:after="80" w:before="200"/>
      </w:pPr>
      <w:r>
        <w:rPr>
          <w:rFonts w:ascii="Calibri" w:cs="Calibri" w:eastAsia="Calibri" w:hAnsi="Calibri"/>
          <w:b/>
          <w:bCs/>
          <w:color w:val="595959"/>
          <w:sz w:val="23"/>
          <w:szCs w:val="23"/>
        </w:rPr>
        <w:t xml:space="preserve">Prompt 3</w:t>
      </w:r>
    </w:p>
    <w:p>
      <w:pPr>
        <w:spacing w:after="140" w:line="276"/>
      </w:pPr>
      <w:r>
        <w:rPr>
          <w:rFonts w:ascii="Calibri" w:cs="Calibri" w:eastAsia="Calibri" w:hAnsi="Calibri"/>
          <w:sz w:val="22"/>
          <w:szCs w:val="22"/>
        </w:rPr>
        <w:t xml:space="preserve">Which ABAC condition would replace the most ACLs in your environment, and what process must own the tags for it to be safe?</w:t>
      </w:r>
    </w:p>
    <w:p>
      <w:pPr>
        <w:spacing w:after="140" w:line="276"/>
      </w:pPr>
      <w:r>
        <w:rPr>
          <w:rFonts w:ascii="Calibri" w:cs="Calibri" w:eastAsia="Calibri" w:hAnsi="Calibri"/>
          <w:i/>
          <w:iCs/>
          <w:color w:val="595959"/>
          <w:sz w:val="20"/>
          <w:szCs w:val="20"/>
        </w:rPr>
        <w:t xml:space="preserve">Block 3.</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1"/>
        <w:spacing w:after="160" w:before="360"/>
      </w:pPr>
      <w:r>
        <w:rPr>
          <w:rFonts w:ascii="Calibri" w:cs="Calibri" w:eastAsia="Calibri" w:hAnsi="Calibri"/>
          <w:b/>
          <w:bCs/>
          <w:color w:val="7A0019"/>
          <w:sz w:val="32"/>
          <w:szCs w:val="32"/>
        </w:rPr>
        <w:t xml:space="preserve">5. Knowledge check</w:t>
      </w:r>
    </w:p>
    <w:p>
      <w:pPr>
        <w:spacing w:after="140" w:line="276"/>
      </w:pPr>
      <w:r>
        <w:rPr>
          <w:rFonts w:ascii="Calibri" w:cs="Calibri" w:eastAsia="Calibri" w:hAnsi="Calibri"/>
          <w:sz w:val="22"/>
          <w:szCs w:val="22"/>
        </w:rPr>
        <w:t xml:space="preserve">Six questions, one best answer each. Mark your answer; the facilitator reviews them at the end of the session.</w:t>
      </w:r>
    </w:p>
    <w:p>
      <w:pPr>
        <w:pStyle w:val="Heading3"/>
        <w:spacing w:after="80" w:before="200"/>
      </w:pPr>
      <w:r>
        <w:rPr>
          <w:rFonts w:ascii="Calibri" w:cs="Calibri" w:eastAsia="Calibri" w:hAnsi="Calibri"/>
          <w:b/>
          <w:bCs/>
          <w:color w:val="595959"/>
          <w:sz w:val="23"/>
          <w:szCs w:val="23"/>
        </w:rPr>
        <w:t xml:space="preserve">1. What is the maximum interval for a container-level time-based retention policy?</w:t>
      </w:r>
    </w:p>
    <w:p>
      <w:pPr>
        <w:pStyle w:val="ListParagraph"/>
        <w:numPr>
          <w:ilvl w:val="0"/>
          <w:numId w:val="2"/>
        </w:numPr>
        <w:spacing w:after="90" w:line="264"/>
      </w:pPr>
      <w:r>
        <w:rPr>
          <w:rFonts w:ascii="Calibri" w:cs="Calibri" w:eastAsia="Calibri" w:hAnsi="Calibri"/>
          <w:sz w:val="22"/>
          <w:szCs w:val="22"/>
        </w:rPr>
        <w:t xml:space="preserve">A. 10 years</w:t>
      </w:r>
    </w:p>
    <w:p>
      <w:pPr>
        <w:pStyle w:val="ListParagraph"/>
        <w:numPr>
          <w:ilvl w:val="0"/>
          <w:numId w:val="2"/>
        </w:numPr>
        <w:spacing w:after="90" w:line="264"/>
      </w:pPr>
      <w:r>
        <w:rPr>
          <w:rFonts w:ascii="Calibri" w:cs="Calibri" w:eastAsia="Calibri" w:hAnsi="Calibri"/>
          <w:sz w:val="22"/>
          <w:szCs w:val="22"/>
        </w:rPr>
        <w:t xml:space="preserve">B. 100 years</w:t>
      </w:r>
    </w:p>
    <w:p>
      <w:pPr>
        <w:pStyle w:val="ListParagraph"/>
        <w:numPr>
          <w:ilvl w:val="0"/>
          <w:numId w:val="2"/>
        </w:numPr>
        <w:spacing w:after="90" w:line="264"/>
      </w:pPr>
      <w:r>
        <w:rPr>
          <w:rFonts w:ascii="Calibri" w:cs="Calibri" w:eastAsia="Calibri" w:hAnsi="Calibri"/>
          <w:sz w:val="22"/>
          <w:szCs w:val="22"/>
        </w:rPr>
        <w:t xml:space="preserve">C. 146,000 days</w:t>
      </w:r>
    </w:p>
    <w:p>
      <w:pPr>
        <w:pStyle w:val="ListParagraph"/>
        <w:numPr>
          <w:ilvl w:val="0"/>
          <w:numId w:val="2"/>
        </w:numPr>
        <w:spacing w:after="90" w:line="264"/>
      </w:pPr>
      <w:r>
        <w:rPr>
          <w:rFonts w:ascii="Calibri" w:cs="Calibri" w:eastAsia="Calibri" w:hAnsi="Calibri"/>
          <w:sz w:val="22"/>
          <w:szCs w:val="22"/>
        </w:rPr>
        <w:t xml:space="preserve">D. Unlimited</w:t>
      </w:r>
    </w:p>
    <w:p>
      <w:pPr>
        <w:pStyle w:val="Heading3"/>
        <w:spacing w:after="80" w:before="200"/>
      </w:pPr>
      <w:r>
        <w:rPr>
          <w:rFonts w:ascii="Calibri" w:cs="Calibri" w:eastAsia="Calibri" w:hAnsi="Calibri"/>
          <w:b/>
          <w:bCs/>
          <w:color w:val="595959"/>
          <w:sz w:val="23"/>
          <w:szCs w:val="23"/>
        </w:rPr>
        <w:t xml:space="preserve">2. Which statement about a locked container-level policy is true?</w:t>
      </w:r>
    </w:p>
    <w:p>
      <w:pPr>
        <w:pStyle w:val="ListParagraph"/>
        <w:numPr>
          <w:ilvl w:val="0"/>
          <w:numId w:val="2"/>
        </w:numPr>
        <w:spacing w:after="90" w:line="264"/>
      </w:pPr>
      <w:r>
        <w:rPr>
          <w:rFonts w:ascii="Calibri" w:cs="Calibri" w:eastAsia="Calibri" w:hAnsi="Calibri"/>
          <w:sz w:val="22"/>
          <w:szCs w:val="22"/>
        </w:rPr>
        <w:t xml:space="preserve">A. It can be shortened by the account owner</w:t>
      </w:r>
    </w:p>
    <w:p>
      <w:pPr>
        <w:pStyle w:val="ListParagraph"/>
        <w:numPr>
          <w:ilvl w:val="0"/>
          <w:numId w:val="2"/>
        </w:numPr>
        <w:spacing w:after="90" w:line="264"/>
      </w:pPr>
      <w:r>
        <w:rPr>
          <w:rFonts w:ascii="Calibri" w:cs="Calibri" w:eastAsia="Calibri" w:hAnsi="Calibri"/>
          <w:sz w:val="22"/>
          <w:szCs w:val="22"/>
        </w:rPr>
        <w:t xml:space="preserve">B. It can be extended up to five times and never shortened or deleted</w:t>
      </w:r>
    </w:p>
    <w:p>
      <w:pPr>
        <w:pStyle w:val="ListParagraph"/>
        <w:numPr>
          <w:ilvl w:val="0"/>
          <w:numId w:val="2"/>
        </w:numPr>
        <w:spacing w:after="90" w:line="264"/>
      </w:pPr>
      <w:r>
        <w:rPr>
          <w:rFonts w:ascii="Calibri" w:cs="Calibri" w:eastAsia="Calibri" w:hAnsi="Calibri"/>
          <w:sz w:val="22"/>
          <w:szCs w:val="22"/>
        </w:rPr>
        <w:t xml:space="preserve">C. It can be deleted after 24 hours</w:t>
      </w:r>
    </w:p>
    <w:p>
      <w:pPr>
        <w:pStyle w:val="ListParagraph"/>
        <w:numPr>
          <w:ilvl w:val="0"/>
          <w:numId w:val="2"/>
        </w:numPr>
        <w:spacing w:after="90" w:line="264"/>
      </w:pPr>
      <w:r>
        <w:rPr>
          <w:rFonts w:ascii="Calibri" w:cs="Calibri" w:eastAsia="Calibri" w:hAnsi="Calibri"/>
          <w:sz w:val="22"/>
          <w:szCs w:val="22"/>
        </w:rPr>
        <w:t xml:space="preserve">D. It blocks reads</w:t>
      </w:r>
    </w:p>
    <w:p>
      <w:pPr>
        <w:pStyle w:val="Heading3"/>
        <w:spacing w:after="80" w:before="200"/>
      </w:pPr>
      <w:r>
        <w:rPr>
          <w:rFonts w:ascii="Calibri" w:cs="Calibri" w:eastAsia="Calibri" w:hAnsi="Calibri"/>
          <w:b/>
          <w:bCs/>
          <w:color w:val="595959"/>
          <w:sz w:val="23"/>
          <w:szCs w:val="23"/>
        </w:rPr>
        <w:t xml:space="preserve">3. Which tool is designed for managed NFS and SMB share migrations at terabyte to petabyte scale over the network?</w:t>
      </w:r>
    </w:p>
    <w:p>
      <w:pPr>
        <w:pStyle w:val="ListParagraph"/>
        <w:numPr>
          <w:ilvl w:val="0"/>
          <w:numId w:val="2"/>
        </w:numPr>
        <w:spacing w:after="90" w:line="264"/>
      </w:pPr>
      <w:r>
        <w:rPr>
          <w:rFonts w:ascii="Calibri" w:cs="Calibri" w:eastAsia="Calibri" w:hAnsi="Calibri"/>
          <w:sz w:val="22"/>
          <w:szCs w:val="22"/>
        </w:rPr>
        <w:t xml:space="preserve">A. AzCopy</w:t>
      </w:r>
    </w:p>
    <w:p>
      <w:pPr>
        <w:pStyle w:val="ListParagraph"/>
        <w:numPr>
          <w:ilvl w:val="0"/>
          <w:numId w:val="2"/>
        </w:numPr>
        <w:spacing w:after="90" w:line="264"/>
      </w:pPr>
      <w:r>
        <w:rPr>
          <w:rFonts w:ascii="Calibri" w:cs="Calibri" w:eastAsia="Calibri" w:hAnsi="Calibri"/>
          <w:sz w:val="22"/>
          <w:szCs w:val="22"/>
        </w:rPr>
        <w:t xml:space="preserve">B. Azure Storage Mover</w:t>
      </w:r>
    </w:p>
    <w:p>
      <w:pPr>
        <w:pStyle w:val="ListParagraph"/>
        <w:numPr>
          <w:ilvl w:val="0"/>
          <w:numId w:val="2"/>
        </w:numPr>
        <w:spacing w:after="90" w:line="264"/>
      </w:pPr>
      <w:r>
        <w:rPr>
          <w:rFonts w:ascii="Calibri" w:cs="Calibri" w:eastAsia="Calibri" w:hAnsi="Calibri"/>
          <w:sz w:val="22"/>
          <w:szCs w:val="22"/>
        </w:rPr>
        <w:t xml:space="preserve">C. Azure Data Box Disk</w:t>
      </w:r>
    </w:p>
    <w:p>
      <w:pPr>
        <w:pStyle w:val="ListParagraph"/>
        <w:numPr>
          <w:ilvl w:val="0"/>
          <w:numId w:val="2"/>
        </w:numPr>
        <w:spacing w:after="90" w:line="264"/>
      </w:pPr>
      <w:r>
        <w:rPr>
          <w:rFonts w:ascii="Calibri" w:cs="Calibri" w:eastAsia="Calibri" w:hAnsi="Calibri"/>
          <w:sz w:val="22"/>
          <w:szCs w:val="22"/>
        </w:rPr>
        <w:t xml:space="preserve">D. Azure File Sync</w:t>
      </w:r>
    </w:p>
    <w:p>
      <w:pPr>
        <w:pStyle w:val="Heading3"/>
        <w:spacing w:after="80" w:before="200"/>
      </w:pPr>
      <w:r>
        <w:rPr>
          <w:rFonts w:ascii="Calibri" w:cs="Calibri" w:eastAsia="Calibri" w:hAnsi="Calibri"/>
          <w:b/>
          <w:bCs/>
          <w:color w:val="595959"/>
          <w:sz w:val="23"/>
          <w:szCs w:val="23"/>
        </w:rPr>
        <w:t xml:space="preserve">4. Which Data Box devices are current?</w:t>
      </w:r>
    </w:p>
    <w:p>
      <w:pPr>
        <w:pStyle w:val="ListParagraph"/>
        <w:numPr>
          <w:ilvl w:val="0"/>
          <w:numId w:val="2"/>
        </w:numPr>
        <w:spacing w:after="90" w:line="264"/>
      </w:pPr>
      <w:r>
        <w:rPr>
          <w:rFonts w:ascii="Calibri" w:cs="Calibri" w:eastAsia="Calibri" w:hAnsi="Calibri"/>
          <w:sz w:val="22"/>
          <w:szCs w:val="22"/>
        </w:rPr>
        <w:t xml:space="preserve">A. Data Box Heavy and Data Box 80 TB</w:t>
      </w:r>
    </w:p>
    <w:p>
      <w:pPr>
        <w:pStyle w:val="ListParagraph"/>
        <w:numPr>
          <w:ilvl w:val="0"/>
          <w:numId w:val="2"/>
        </w:numPr>
        <w:spacing w:after="90" w:line="264"/>
      </w:pPr>
      <w:r>
        <w:rPr>
          <w:rFonts w:ascii="Calibri" w:cs="Calibri" w:eastAsia="Calibri" w:hAnsi="Calibri"/>
          <w:sz w:val="22"/>
          <w:szCs w:val="22"/>
        </w:rPr>
        <w:t xml:space="preserve">B. Data Box 120 and Data Box 525</w:t>
      </w:r>
    </w:p>
    <w:p>
      <w:pPr>
        <w:pStyle w:val="ListParagraph"/>
        <w:numPr>
          <w:ilvl w:val="0"/>
          <w:numId w:val="2"/>
        </w:numPr>
        <w:spacing w:after="90" w:line="264"/>
      </w:pPr>
      <w:r>
        <w:rPr>
          <w:rFonts w:ascii="Calibri" w:cs="Calibri" w:eastAsia="Calibri" w:hAnsi="Calibri"/>
          <w:sz w:val="22"/>
          <w:szCs w:val="22"/>
        </w:rPr>
        <w:t xml:space="preserve">C. Data Box Edge only</w:t>
      </w:r>
    </w:p>
    <w:p>
      <w:pPr>
        <w:pStyle w:val="ListParagraph"/>
        <w:numPr>
          <w:ilvl w:val="0"/>
          <w:numId w:val="2"/>
        </w:numPr>
        <w:spacing w:after="90" w:line="264"/>
      </w:pPr>
      <w:r>
        <w:rPr>
          <w:rFonts w:ascii="Calibri" w:cs="Calibri" w:eastAsia="Calibri" w:hAnsi="Calibri"/>
          <w:sz w:val="22"/>
          <w:szCs w:val="22"/>
        </w:rPr>
        <w:t xml:space="preserve">D. Data Box Gateway only</w:t>
      </w:r>
    </w:p>
    <w:p>
      <w:pPr>
        <w:pStyle w:val="Heading3"/>
        <w:spacing w:after="80" w:before="200"/>
      </w:pPr>
      <w:r>
        <w:rPr>
          <w:rFonts w:ascii="Calibri" w:cs="Calibri" w:eastAsia="Calibri" w:hAnsi="Calibri"/>
          <w:b/>
          <w:bCs/>
          <w:color w:val="595959"/>
          <w:sz w:val="23"/>
          <w:szCs w:val="23"/>
        </w:rPr>
        <w:t xml:space="preserve">5. How many identity sources can be enabled on one storage account for Azure Files SMB shares?</w:t>
      </w:r>
    </w:p>
    <w:p>
      <w:pPr>
        <w:pStyle w:val="ListParagraph"/>
        <w:numPr>
          <w:ilvl w:val="0"/>
          <w:numId w:val="2"/>
        </w:numPr>
        <w:spacing w:after="90" w:line="264"/>
      </w:pPr>
      <w:r>
        <w:rPr>
          <w:rFonts w:ascii="Calibri" w:cs="Calibri" w:eastAsia="Calibri" w:hAnsi="Calibri"/>
          <w:sz w:val="22"/>
          <w:szCs w:val="22"/>
        </w:rPr>
        <w:t xml:space="preserve">A. One</w:t>
      </w:r>
    </w:p>
    <w:p>
      <w:pPr>
        <w:pStyle w:val="ListParagraph"/>
        <w:numPr>
          <w:ilvl w:val="0"/>
          <w:numId w:val="2"/>
        </w:numPr>
        <w:spacing w:after="90" w:line="264"/>
      </w:pPr>
      <w:r>
        <w:rPr>
          <w:rFonts w:ascii="Calibri" w:cs="Calibri" w:eastAsia="Calibri" w:hAnsi="Calibri"/>
          <w:sz w:val="22"/>
          <w:szCs w:val="22"/>
        </w:rPr>
        <w:t xml:space="preserve">B. Two</w:t>
      </w:r>
    </w:p>
    <w:p>
      <w:pPr>
        <w:pStyle w:val="ListParagraph"/>
        <w:numPr>
          <w:ilvl w:val="0"/>
          <w:numId w:val="2"/>
        </w:numPr>
        <w:spacing w:after="90" w:line="264"/>
      </w:pPr>
      <w:r>
        <w:rPr>
          <w:rFonts w:ascii="Calibri" w:cs="Calibri" w:eastAsia="Calibri" w:hAnsi="Calibri"/>
          <w:sz w:val="22"/>
          <w:szCs w:val="22"/>
        </w:rPr>
        <w:t xml:space="preserve">C. Three</w:t>
      </w:r>
    </w:p>
    <w:p>
      <w:pPr>
        <w:pStyle w:val="ListParagraph"/>
        <w:numPr>
          <w:ilvl w:val="0"/>
          <w:numId w:val="2"/>
        </w:numPr>
        <w:spacing w:after="90" w:line="264"/>
      </w:pPr>
      <w:r>
        <w:rPr>
          <w:rFonts w:ascii="Calibri" w:cs="Calibri" w:eastAsia="Calibri" w:hAnsi="Calibri"/>
          <w:sz w:val="22"/>
          <w:szCs w:val="22"/>
        </w:rPr>
        <w:t xml:space="preserve">D. Unlimited</w:t>
      </w:r>
    </w:p>
    <w:p>
      <w:pPr>
        <w:pStyle w:val="Heading3"/>
        <w:spacing w:after="80" w:before="200"/>
      </w:pPr>
      <w:r>
        <w:rPr>
          <w:rFonts w:ascii="Calibri" w:cs="Calibri" w:eastAsia="Calibri" w:hAnsi="Calibri"/>
          <w:b/>
          <w:bCs/>
          <w:color w:val="595959"/>
          <w:sz w:val="23"/>
          <w:szCs w:val="23"/>
        </w:rPr>
        <w:t xml:space="preserve">6. Which SAS type is recommended because it is signed with Microsoft Entra credentials rather than the account key?</w:t>
      </w:r>
    </w:p>
    <w:p>
      <w:pPr>
        <w:pStyle w:val="ListParagraph"/>
        <w:numPr>
          <w:ilvl w:val="0"/>
          <w:numId w:val="2"/>
        </w:numPr>
        <w:spacing w:after="90" w:line="264"/>
      </w:pPr>
      <w:r>
        <w:rPr>
          <w:rFonts w:ascii="Calibri" w:cs="Calibri" w:eastAsia="Calibri" w:hAnsi="Calibri"/>
          <w:sz w:val="22"/>
          <w:szCs w:val="22"/>
        </w:rPr>
        <w:t xml:space="preserve">A. Account SAS</w:t>
      </w:r>
    </w:p>
    <w:p>
      <w:pPr>
        <w:pStyle w:val="ListParagraph"/>
        <w:numPr>
          <w:ilvl w:val="0"/>
          <w:numId w:val="2"/>
        </w:numPr>
        <w:spacing w:after="90" w:line="264"/>
      </w:pPr>
      <w:r>
        <w:rPr>
          <w:rFonts w:ascii="Calibri" w:cs="Calibri" w:eastAsia="Calibri" w:hAnsi="Calibri"/>
          <w:sz w:val="22"/>
          <w:szCs w:val="22"/>
        </w:rPr>
        <w:t xml:space="preserve">B. Service SAS</w:t>
      </w:r>
    </w:p>
    <w:p>
      <w:pPr>
        <w:pStyle w:val="ListParagraph"/>
        <w:numPr>
          <w:ilvl w:val="0"/>
          <w:numId w:val="2"/>
        </w:numPr>
        <w:spacing w:after="90" w:line="264"/>
      </w:pPr>
      <w:r>
        <w:rPr>
          <w:rFonts w:ascii="Calibri" w:cs="Calibri" w:eastAsia="Calibri" w:hAnsi="Calibri"/>
          <w:sz w:val="22"/>
          <w:szCs w:val="22"/>
        </w:rPr>
        <w:t xml:space="preserve">C. User delegation SAS</w:t>
      </w:r>
    </w:p>
    <w:p>
      <w:pPr>
        <w:pStyle w:val="ListParagraph"/>
        <w:numPr>
          <w:ilvl w:val="0"/>
          <w:numId w:val="2"/>
        </w:numPr>
        <w:spacing w:after="90" w:line="264"/>
      </w:pPr>
      <w:r>
        <w:rPr>
          <w:rFonts w:ascii="Calibri" w:cs="Calibri" w:eastAsia="Calibri" w:hAnsi="Calibri"/>
          <w:sz w:val="22"/>
          <w:szCs w:val="22"/>
        </w:rPr>
        <w:t xml:space="preserve">D. Stored access policy SAS</w:t>
      </w:r>
    </w:p>
    <w:p>
      <w:pPr>
        <w:pStyle w:val="Heading1"/>
        <w:spacing w:after="160" w:before="360"/>
      </w:pPr>
      <w:r>
        <w:rPr>
          <w:rFonts w:ascii="Calibri" w:cs="Calibri" w:eastAsia="Calibri" w:hAnsi="Calibri"/>
          <w:b/>
          <w:bCs/>
          <w:color w:val="7A0019"/>
          <w:sz w:val="32"/>
          <w:szCs w:val="32"/>
        </w:rPr>
        <w:t xml:space="preserve">6. Takeaways and the capstone</w:t>
      </w:r>
    </w:p>
    <w:p>
      <w:pPr>
        <w:pStyle w:val="ListParagraph"/>
        <w:numPr>
          <w:ilvl w:val="0"/>
          <w:numId w:val="2"/>
        </w:numPr>
        <w:spacing w:after="90" w:line="264"/>
      </w:pPr>
      <w:r>
        <w:rPr>
          <w:rFonts w:ascii="Calibri" w:cs="Calibri" w:eastAsia="Calibri" w:hAnsi="Calibri"/>
          <w:sz w:val="22"/>
          <w:szCs w:val="22"/>
        </w:rPr>
        <w:t xml:space="preserve">Archival is a strategy: retention owned by stewards, integrity proven by manifests, immutability declared on the platform, and format migration planned.</w:t>
      </w:r>
    </w:p>
    <w:p>
      <w:pPr>
        <w:pStyle w:val="ListParagraph"/>
        <w:numPr>
          <w:ilvl w:val="0"/>
          <w:numId w:val="2"/>
        </w:numPr>
        <w:spacing w:after="90" w:line="264"/>
      </w:pPr>
      <w:r>
        <w:rPr>
          <w:rFonts w:ascii="Calibri" w:cs="Calibri" w:eastAsia="Calibri" w:hAnsi="Calibri"/>
          <w:sz w:val="22"/>
          <w:szCs w:val="22"/>
        </w:rPr>
        <w:t xml:space="preserve">Choose movement tools from volume, timeline, and network; compute the timeline; model egress before any design pulls data back.</w:t>
      </w:r>
    </w:p>
    <w:p>
      <w:pPr>
        <w:pStyle w:val="ListParagraph"/>
        <w:numPr>
          <w:ilvl w:val="0"/>
          <w:numId w:val="2"/>
        </w:numPr>
        <w:spacing w:after="90" w:line="264"/>
      </w:pPr>
      <w:r>
        <w:rPr>
          <w:rFonts w:ascii="Calibri" w:cs="Calibri" w:eastAsia="Calibri" w:hAnsi="Calibri"/>
          <w:sz w:val="22"/>
          <w:szCs w:val="22"/>
        </w:rPr>
        <w:t xml:space="preserve">Identity, ABAC, and managed identities replace keys and ACL sprawl; one identity source per Azure Files account; disable shared key access.</w:t>
      </w:r>
    </w:p>
    <w:p>
      <w:pPr>
        <w:pStyle w:val="ListParagraph"/>
        <w:numPr>
          <w:ilvl w:val="0"/>
          <w:numId w:val="2"/>
        </w:numPr>
        <w:spacing w:after="90" w:line="264"/>
      </w:pPr>
      <w:r>
        <w:rPr>
          <w:rFonts w:ascii="Calibri" w:cs="Calibri" w:eastAsia="Calibri" w:hAnsi="Calibri"/>
          <w:sz w:val="22"/>
          <w:szCs w:val="22"/>
        </w:rPr>
        <w:t xml:space="preserve">Lock deliberately: test unlocked, validate scope and interval, lock within about a day, and treat the lock as a Security change.</w:t>
      </w:r>
    </w:p>
    <w:tbl>
      <w:tblPr>
        <w:tblW w:type="dxa" w:w="9360"/>
        <w:tblBorders>
          <w:top w:val="none" w:color="FFFFFF" w:sz="0"/>
          <w:left w:val="single" w:color="7A0019" w:sz="8"/>
          <w:bottom w:val="none" w:color="FFFFFF" w:sz="0"/>
          <w:right w:val="none" w:color="FFFFFF" w:sz="0"/>
          <w:insideH w:val="none" w:color="FFFFFF" w:sz="0"/>
          <w:insideV w:val="none" w:color="FFFFFF" w:sz="0"/>
        </w:tblBorders>
      </w:tblPr>
      <w:tblGrid>
        <w:gridCol w:w="9360"/>
      </w:tblGrid>
      <w:tr>
        <w:tc>
          <w:tcPr>
            <w:tcW w:type="dxa" w:w="9360"/>
            <w:shd w:fill="FFF6D5" w:color="auto" w:val="clear"/>
            <w:tcMar>
              <w:top w:type="dxa" w:w="100"/>
              <w:left w:type="dxa" w:w="160"/>
              <w:bottom w:type="dxa" w:w="100"/>
              <w:right w:type="dxa" w:w="160"/>
            </w:tcMar>
          </w:tcPr>
          <w:p>
            <w:pPr>
              <w:spacing w:after="60"/>
            </w:pPr>
            <w:r>
              <w:rPr>
                <w:rFonts w:ascii="Calibri" w:cs="Calibri" w:eastAsia="Calibri" w:hAnsi="Calibri"/>
                <w:b/>
                <w:bCs/>
                <w:color w:val="7A0019"/>
                <w:sz w:val="22"/>
                <w:szCs w:val="22"/>
              </w:rPr>
              <w:t xml:space="preserve">Capstone input from this session</w:t>
            </w:r>
          </w:p>
          <w:p>
            <w:pPr>
              <w:spacing w:after="60" w:line="264"/>
            </w:pPr>
            <w:r>
              <w:rPr>
                <w:rFonts w:ascii="Calibri" w:cs="Calibri" w:eastAsia="Calibri" w:hAnsi="Calibri"/>
                <w:sz w:val="22"/>
                <w:szCs w:val="22"/>
              </w:rPr>
              <w:t xml:space="preserve">Century-proof archival landing zone with integrity validation.</w:t>
            </w:r>
          </w:p>
          <w:p>
            <w:pPr>
              <w:spacing w:after="60" w:line="264"/>
            </w:pPr>
            <w:r>
              <w:rPr>
                <w:rFonts w:ascii="Calibri" w:cs="Calibri" w:eastAsia="Calibri" w:hAnsi="Calibri"/>
                <w:sz w:val="22"/>
                <w:szCs w:val="22"/>
              </w:rPr>
              <w:t xml:space="preserve">Next: Day 2 opens with Session 3, data protection in both directions: backup copies, vault-level immutability, and controls that hold against a compromised administrator.</w:t>
            </w:r>
          </w:p>
        </w:tc>
      </w:tr>
    </w:tbl>
    <w:p>
      <w:pPr>
        <w:spacing w:after="120"/>
      </w:pPr>
    </w:p>
    <w:p>
      <w:pPr>
        <w:pStyle w:val="Heading1"/>
        <w:spacing w:after="160" w:before="360"/>
      </w:pPr>
      <w:r>
        <w:rPr>
          <w:rFonts w:ascii="Calibri" w:cs="Calibri" w:eastAsia="Calibri" w:hAnsi="Calibri"/>
          <w:b/>
          <w:bCs/>
          <w:color w:val="7A0019"/>
          <w:sz w:val="32"/>
          <w:szCs w:val="32"/>
        </w:rPr>
        <w:t xml:space="preserve">7. Notes</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spacing w:after="80"/>
            </w:pPr>
            <w:r>
              <w:rPr>
                <w:rFonts w:ascii="Calibri" w:cs="Calibri" w:eastAsia="Calibri" w:hAnsi="Calibri"/>
                <w:i/>
                <w:iCs/>
                <w:color w:val="595959"/>
                <w:sz w:val="20"/>
                <w:szCs w:val="20"/>
              </w:rPr>
              <w:t xml:space="preserve">Your notes</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95959"/>
        <w:sz w:val="18"/>
        <w:szCs w:val="18"/>
      </w:rPr>
      <w:t xml:space="preserve">Gamut Technology Services | October 2026</w:t>
    </w:r>
    <w:r>
      <w:rPr>
        <w:rFonts w:ascii="Calibri" w:cs="Calibri" w:eastAsia="Calibri" w:hAnsi="Calibri"/>
        <w:color w:val="595959"/>
        <w:sz w:val="18"/>
        <w:szCs w:val="18"/>
      </w:rPr>
      <w:t xml:space="preserve">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CC33" w:sz="6" w:space="4"/>
      </w:pBdr>
    </w:pPr>
    <w:r>
      <w:rPr>
        <w:rFonts w:ascii="Calibri" w:cs="Calibri" w:eastAsia="Calibri" w:hAnsi="Calibri"/>
        <w:color w:val="595959"/>
        <w:sz w:val="18"/>
        <w:szCs w:val="18"/>
      </w:rPr>
      <w:t xml:space="preserve">Session 2 Participant Workbook | University of Minnesota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7A0019"/>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7A0019"/>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2 Participant Workbook</dc:title>
  <dc:creator>Gamut Technology Services</dc:creator>
  <cp:lastModifiedBy>Un-named</cp:lastModifiedBy>
  <cp:revision>1</cp:revision>
  <dcterms:created xsi:type="dcterms:W3CDTF">2026-10-15T13:46:14.074Z</dcterms:created>
  <dcterms:modified xsi:type="dcterms:W3CDTF">2026-10-15T13:46:14.074Z</dcterms:modified>
</cp:coreProperties>
</file>

<file path=docProps/custom.xml><?xml version="1.0" encoding="utf-8"?>
<Properties xmlns="http://schemas.openxmlformats.org/officeDocument/2006/custom-properties" xmlns:vt="http://schemas.openxmlformats.org/officeDocument/2006/docPropsVTypes"/>
</file>