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color w:val="595959"/>
          <w:sz w:val="22"/>
          <w:szCs w:val="22"/>
        </w:rPr>
        <w:t xml:space="preserve">University of Minnesota custom Azure course</w:t>
      </w:r>
    </w:p>
    <w:p>
      <w:pPr>
        <w:spacing w:after="120"/>
      </w:pPr>
      <w:r>
        <w:rPr>
          <w:rFonts w:ascii="Calibri" w:cs="Calibri" w:eastAsia="Calibri" w:hAnsi="Calibri"/>
          <w:b/>
          <w:bCs/>
          <w:color w:val="7A0019"/>
          <w:sz w:val="48"/>
          <w:szCs w:val="48"/>
        </w:rPr>
        <w:t xml:space="preserve">Session 4 Participant Workbook</w:t>
      </w:r>
    </w:p>
    <w:p>
      <w:pPr>
        <w:spacing w:after="120"/>
      </w:pPr>
      <w:r>
        <w:rPr>
          <w:rFonts w:ascii="Calibri" w:cs="Calibri" w:eastAsia="Calibri" w:hAnsi="Calibri"/>
          <w:color w:val="595959"/>
          <w:sz w:val="30"/>
          <w:szCs w:val="30"/>
        </w:rPr>
        <w:t xml:space="preserve">Resilience, Disaster Recovery, and Multi-Region Design</w:t>
      </w:r>
    </w:p>
    <w:p>
      <w:pPr>
        <w:pBdr>
          <w:bottom w:val="single" w:color="FFCC33" w:sz="12" w:space="8"/>
        </w:pBdr>
        <w:spacing w:after="360"/>
      </w:pPr>
      <w:r>
        <w:rPr>
          <w:rFonts w:ascii="Calibri" w:cs="Calibri" w:eastAsia="Calibri" w:hAnsi="Calibri"/>
          <w:i/>
          <w:iCs/>
          <w:sz w:val="24"/>
          <w:szCs w:val="24"/>
        </w:rPr>
        <w:t xml:space="preserve">Azure Storage, Data Protection, and Resilience at Scale</w:t>
      </w:r>
    </w:p>
    <w:p>
      <w:pPr>
        <w:spacing w:after="80"/>
      </w:pPr>
      <w:r>
        <w:rPr>
          <w:rFonts w:ascii="Calibri" w:cs="Calibri" w:eastAsia="Calibri" w:hAnsi="Calibri"/>
          <w:b/>
          <w:bCs/>
          <w:sz w:val="22"/>
          <w:szCs w:val="22"/>
        </w:rPr>
        <w:t xml:space="preserve">Session: </w:t>
      </w:r>
      <w:r>
        <w:rPr>
          <w:rFonts w:ascii="Calibri" w:cs="Calibri" w:eastAsia="Calibri" w:hAnsi="Calibri"/>
          <w:sz w:val="22"/>
          <w:szCs w:val="22"/>
        </w:rPr>
        <w:t xml:space="preserve">Day 2, Session 4, four hours</w:t>
      </w:r>
    </w:p>
    <w:p>
      <w:pPr>
        <w:spacing w:after="80"/>
      </w:pPr>
      <w:r>
        <w:rPr>
          <w:rFonts w:ascii="Calibri" w:cs="Calibri" w:eastAsia="Calibri" w:hAnsi="Calibri"/>
          <w:b/>
          <w:bCs/>
          <w:sz w:val="22"/>
          <w:szCs w:val="22"/>
        </w:rPr>
        <w:t xml:space="preserve">Use: </w:t>
      </w:r>
      <w:r>
        <w:rPr>
          <w:rFonts w:ascii="Calibri" w:cs="Calibri" w:eastAsia="Calibri" w:hAnsi="Calibri"/>
          <w:sz w:val="22"/>
          <w:szCs w:val="22"/>
        </w:rPr>
        <w:t xml:space="preserve">Checkpoint discussion, design exercise or lab debrief, discussion prompts, knowledge check</w:t>
      </w:r>
    </w:p>
    <w:p>
      <w:pPr>
        <w:spacing w:after="80"/>
      </w:pPr>
      <w:r>
        <w:rPr>
          <w:rFonts w:ascii="Calibri" w:cs="Calibri" w:eastAsia="Calibri" w:hAnsi="Calibri"/>
          <w:b/>
          <w:bCs/>
          <w:sz w:val="22"/>
          <w:szCs w:val="22"/>
        </w:rPr>
        <w:t xml:space="preserve">Keep: </w:t>
      </w:r>
      <w:r>
        <w:rPr>
          <w:rFonts w:ascii="Calibri" w:cs="Calibri" w:eastAsia="Calibri" w:hAnsi="Calibri"/>
          <w:sz w:val="22"/>
          <w:szCs w:val="22"/>
        </w:rPr>
        <w:t xml:space="preserve">Your worksheets are the input to the Session 6 roadmap capstone</w:t>
      </w:r>
    </w:p>
    <w:p>
      <w:pPr>
        <w:spacing w:before="400"/>
      </w:pPr>
      <w:r>
        <w:rPr>
          <w:rFonts w:ascii="Calibri" w:cs="Calibri" w:eastAsia="Calibri" w:hAnsi="Calibri"/>
          <w:i/>
          <w:iCs/>
          <w:color w:val="595959"/>
          <w:sz w:val="20"/>
          <w:szCs w:val="20"/>
        </w:rPr>
        <w:t xml:space="preserve">All scenarios use synthetic data modeled on a large public research university. No real University of Minnesota data is used.</w:t>
      </w:r>
    </w:p>
    <w:p>
      <w:r>
        <w:br w:type="page"/>
      </w:r>
    </w:p>
    <w:p>
      <w:pPr>
        <w:spacing w:after="160"/>
      </w:pPr>
      <w:r>
        <w:rPr>
          <w:rFonts w:ascii="Calibri" w:cs="Calibri" w:eastAsia="Calibri" w:hAnsi="Calibri"/>
          <w:b/>
          <w:bCs/>
          <w:color w:val="7A0019"/>
          <w:sz w:val="32"/>
          <w:szCs w:val="32"/>
        </w:rPr>
        <w:t xml:space="preserve">Contents</w:t>
      </w:r>
    </w:p>
    <w:sdt>
      <w:sdtPr>
        <w:alias w:val="Contents"/>
      </w:sdtPr>
      <w:sdtContent>
        <w:p>
          <w:r>
            <w:fldChar w:fldCharType="begin" w:dirty="true"/>
            <w:instrText xml:space="preserve">TOC \h \o "1-2"</w:instrText>
            <w:fldChar w:fldCharType="separate"/>
          </w:r>
        </w:p>
        <w:p>
          <w:pPr>
            <w:tabs>
              <w:tab w:val="right" w:leader="dot" w:pos="9350"/>
            </w:tabs>
            <w:spacing w:before="100" w:after="40"/>
            <w:ind w:left="0"/>
          </w:pPr>
          <w:r>
            <w:rPr>
              <w:rFonts w:ascii="Calibri" w:cs="Calibri" w:eastAsia="Calibri" w:hAnsi="Calibri"/>
              <w:b/>
              <w:bCs/>
              <w:sz w:val="22"/>
              <w:szCs w:val="22"/>
            </w:rPr>
            <w:t xml:space="preserve">1. Session map</w:t>
          </w:r>
          <w:r>
            <w:rPr>
              <w:rFonts w:ascii="Calibri" w:cs="Calibri" w:eastAsia="Calibri" w:hAnsi="Calibri"/>
              <w:b/>
              <w:bCs/>
              <w:sz w:val="22"/>
              <w:szCs w:val="22"/>
            </w:rPr>
            <w:tab/>
            <w:t>3</w:t>
          </w:r>
        </w:p>
        <w:p>
          <w:pPr>
            <w:tabs>
              <w:tab w:val="right" w:leader="dot" w:pos="9350"/>
            </w:tabs>
            <w:spacing w:before="0" w:after="40"/>
            <w:ind w:left="360"/>
          </w:pPr>
          <w:r>
            <w:rPr>
              <w:rFonts w:ascii="Calibri" w:cs="Calibri" w:eastAsia="Calibri" w:hAnsi="Calibri"/>
              <w:sz w:val="22"/>
              <w:szCs w:val="22"/>
            </w:rPr>
            <w:t xml:space="preserve">1.1 What this session covers</w:t>
          </w:r>
          <w:r>
            <w:rPr>
              <w:rFonts w:ascii="Calibri" w:cs="Calibri" w:eastAsia="Calibri" w:hAnsi="Calibri"/>
              <w:sz w:val="22"/>
              <w:szCs w:val="22"/>
            </w:rPr>
            <w:tab/>
            <w:t>3</w:t>
          </w:r>
        </w:p>
        <w:p>
          <w:pPr>
            <w:tabs>
              <w:tab w:val="right" w:leader="dot" w:pos="9350"/>
            </w:tabs>
            <w:spacing w:before="0" w:after="40"/>
            <w:ind w:left="360"/>
          </w:pPr>
          <w:r>
            <w:rPr>
              <w:rFonts w:ascii="Calibri" w:cs="Calibri" w:eastAsia="Calibri" w:hAnsi="Calibri"/>
              <w:sz w:val="22"/>
              <w:szCs w:val="22"/>
            </w:rPr>
            <w:t xml:space="preserve">1.2 Have ready</w:t>
          </w:r>
          <w:r>
            <w:rPr>
              <w:rFonts w:ascii="Calibri" w:cs="Calibri" w:eastAsia="Calibri" w:hAnsi="Calibri"/>
              <w:sz w:val="22"/>
              <w:szCs w:val="22"/>
            </w:rPr>
            <w:tab/>
            <w:t>3</w:t>
          </w:r>
        </w:p>
        <w:p>
          <w:pPr>
            <w:tabs>
              <w:tab w:val="right" w:leader="dot" w:pos="9350"/>
            </w:tabs>
            <w:spacing w:before="0" w:after="40"/>
            <w:ind w:left="360"/>
          </w:pPr>
          <w:r>
            <w:rPr>
              <w:rFonts w:ascii="Calibri" w:cs="Calibri" w:eastAsia="Calibri" w:hAnsi="Calibri"/>
              <w:sz w:val="22"/>
              <w:szCs w:val="22"/>
            </w:rPr>
            <w:t xml:space="preserve">1.3 Materials you will receive</w:t>
          </w:r>
          <w:r>
            <w:rPr>
              <w:rFonts w:ascii="Calibri" w:cs="Calibri" w:eastAsia="Calibri" w:hAnsi="Calibri"/>
              <w:sz w:val="22"/>
              <w:szCs w:val="22"/>
            </w:rPr>
            <w:tab/>
            <w:t>3</w:t>
          </w:r>
        </w:p>
        <w:p>
          <w:pPr>
            <w:tabs>
              <w:tab w:val="right" w:leader="dot" w:pos="9350"/>
            </w:tabs>
            <w:spacing w:before="100" w:after="40"/>
            <w:ind w:left="0"/>
          </w:pPr>
          <w:r>
            <w:rPr>
              <w:rFonts w:ascii="Calibri" w:cs="Calibri" w:eastAsia="Calibri" w:hAnsi="Calibri"/>
              <w:b/>
              <w:bCs/>
              <w:sz w:val="22"/>
              <w:szCs w:val="22"/>
            </w:rPr>
            <w:t xml:space="preserve">2. Block 1 checkpoint: sort your data classes</w:t>
          </w:r>
          <w:r>
            <w:rPr>
              <w:rFonts w:ascii="Calibri" w:cs="Calibri" w:eastAsia="Calibri" w:hAnsi="Calibri"/>
              <w:b/>
              <w:bCs/>
              <w:sz w:val="22"/>
              <w:szCs w:val="22"/>
            </w:rPr>
            <w:tab/>
            <w:t>4</w:t>
          </w:r>
        </w:p>
        <w:p>
          <w:pPr>
            <w:tabs>
              <w:tab w:val="right" w:leader="dot" w:pos="9350"/>
            </w:tabs>
            <w:spacing w:before="100" w:after="40"/>
            <w:ind w:left="0"/>
          </w:pPr>
          <w:r>
            <w:rPr>
              <w:rFonts w:ascii="Calibri" w:cs="Calibri" w:eastAsia="Calibri" w:hAnsi="Calibri"/>
              <w:b/>
              <w:bCs/>
              <w:sz w:val="22"/>
              <w:szCs w:val="22"/>
            </w:rPr>
            <w:t xml:space="preserve">3. Design exercise: the university resilience matrix</w:t>
          </w:r>
          <w:r>
            <w:rPr>
              <w:rFonts w:ascii="Calibri" w:cs="Calibri" w:eastAsia="Calibri" w:hAnsi="Calibri"/>
              <w:b/>
              <w:bCs/>
              <w:sz w:val="22"/>
              <w:szCs w:val="22"/>
            </w:rPr>
            <w:tab/>
            <w:t>5</w:t>
          </w:r>
        </w:p>
        <w:p>
          <w:pPr>
            <w:tabs>
              <w:tab w:val="right" w:leader="dot" w:pos="9350"/>
            </w:tabs>
            <w:spacing w:before="0" w:after="40"/>
            <w:ind w:left="360"/>
          </w:pPr>
          <w:r>
            <w:rPr>
              <w:rFonts w:ascii="Calibri" w:cs="Calibri" w:eastAsia="Calibri" w:hAnsi="Calibri"/>
              <w:sz w:val="22"/>
              <w:szCs w:val="22"/>
            </w:rPr>
            <w:t xml:space="preserve">3.1 Steps</w:t>
          </w:r>
          <w:r>
            <w:rPr>
              <w:rFonts w:ascii="Calibri" w:cs="Calibri" w:eastAsia="Calibri" w:hAnsi="Calibri"/>
              <w:sz w:val="22"/>
              <w:szCs w:val="22"/>
            </w:rPr>
            <w:tab/>
            <w:t>5</w:t>
          </w:r>
        </w:p>
        <w:p>
          <w:pPr>
            <w:tabs>
              <w:tab w:val="right" w:leader="dot" w:pos="9350"/>
            </w:tabs>
            <w:spacing w:before="0" w:after="40"/>
            <w:ind w:left="360"/>
          </w:pPr>
          <w:r>
            <w:rPr>
              <w:rFonts w:ascii="Calibri" w:cs="Calibri" w:eastAsia="Calibri" w:hAnsi="Calibri"/>
              <w:sz w:val="22"/>
              <w:szCs w:val="22"/>
            </w:rPr>
            <w:t xml:space="preserve">3.2 Worksheet: resilience tiers</w:t>
          </w:r>
          <w:r>
            <w:rPr>
              <w:rFonts w:ascii="Calibri" w:cs="Calibri" w:eastAsia="Calibri" w:hAnsi="Calibri"/>
              <w:sz w:val="22"/>
              <w:szCs w:val="22"/>
            </w:rPr>
            <w:tab/>
            <w:t>5</w:t>
          </w:r>
        </w:p>
        <w:p>
          <w:pPr>
            <w:tabs>
              <w:tab w:val="right" w:leader="dot" w:pos="9350"/>
            </w:tabs>
            <w:spacing w:before="0" w:after="40"/>
            <w:ind w:left="360"/>
          </w:pPr>
          <w:r>
            <w:rPr>
              <w:rFonts w:ascii="Calibri" w:cs="Calibri" w:eastAsia="Calibri" w:hAnsi="Calibri"/>
              <w:sz w:val="22"/>
              <w:szCs w:val="22"/>
            </w:rPr>
            <w:t xml:space="preserve">3.3 Worksheet: the six workloads</w:t>
          </w:r>
          <w:r>
            <w:rPr>
              <w:rFonts w:ascii="Calibri" w:cs="Calibri" w:eastAsia="Calibri" w:hAnsi="Calibri"/>
              <w:sz w:val="22"/>
              <w:szCs w:val="22"/>
            </w:rPr>
            <w:tab/>
            <w:t>6</w:t>
          </w:r>
        </w:p>
        <w:p>
          <w:pPr>
            <w:tabs>
              <w:tab w:val="right" w:leader="dot" w:pos="9350"/>
            </w:tabs>
            <w:spacing w:before="0" w:after="40"/>
            <w:ind w:left="360"/>
          </w:pPr>
          <w:r>
            <w:rPr>
              <w:rFonts w:ascii="Calibri" w:cs="Calibri" w:eastAsia="Calibri" w:hAnsi="Calibri"/>
              <w:sz w:val="22"/>
              <w:szCs w:val="22"/>
            </w:rPr>
            <w:t xml:space="preserve">3.4 Worksheet: accepted risk</w:t>
          </w:r>
          <w:r>
            <w:rPr>
              <w:rFonts w:ascii="Calibri" w:cs="Calibri" w:eastAsia="Calibri" w:hAnsi="Calibri"/>
              <w:sz w:val="22"/>
              <w:szCs w:val="22"/>
            </w:rPr>
            <w:tab/>
            <w:t>7</w:t>
          </w:r>
        </w:p>
        <w:p>
          <w:pPr>
            <w:tabs>
              <w:tab w:val="right" w:leader="dot" w:pos="9350"/>
            </w:tabs>
            <w:spacing w:before="0" w:after="40"/>
            <w:ind w:left="360"/>
          </w:pPr>
          <w:r>
            <w:rPr>
              <w:rFonts w:ascii="Calibri" w:cs="Calibri" w:eastAsia="Calibri" w:hAnsi="Calibri"/>
              <w:sz w:val="22"/>
              <w:szCs w:val="22"/>
            </w:rPr>
            <w:t xml:space="preserve">3.5 What you present</w:t>
          </w:r>
          <w:r>
            <w:rPr>
              <w:rFonts w:ascii="Calibri" w:cs="Calibri" w:eastAsia="Calibri" w:hAnsi="Calibri"/>
              <w:sz w:val="22"/>
              <w:szCs w:val="22"/>
            </w:rPr>
            <w:tab/>
            <w:t>8</w:t>
          </w:r>
        </w:p>
        <w:p>
          <w:pPr>
            <w:tabs>
              <w:tab w:val="right" w:leader="dot" w:pos="9350"/>
            </w:tabs>
            <w:spacing w:before="0" w:after="40"/>
            <w:ind w:left="360"/>
          </w:pPr>
          <w:r>
            <w:rPr>
              <w:rFonts w:ascii="Calibri" w:cs="Calibri" w:eastAsia="Calibri" w:hAnsi="Calibri"/>
              <w:sz w:val="22"/>
              <w:szCs w:val="22"/>
            </w:rPr>
            <w:t xml:space="preserve">3.6 How your design will be critiqued</w:t>
          </w:r>
          <w:r>
            <w:rPr>
              <w:rFonts w:ascii="Calibri" w:cs="Calibri" w:eastAsia="Calibri" w:hAnsi="Calibri"/>
              <w:sz w:val="22"/>
              <w:szCs w:val="22"/>
            </w:rPr>
            <w:tab/>
            <w:t>8</w:t>
          </w:r>
        </w:p>
        <w:p>
          <w:pPr>
            <w:tabs>
              <w:tab w:val="right" w:leader="dot" w:pos="9350"/>
            </w:tabs>
            <w:spacing w:before="100" w:after="40"/>
            <w:ind w:left="0"/>
          </w:pPr>
          <w:r>
            <w:rPr>
              <w:rFonts w:ascii="Calibri" w:cs="Calibri" w:eastAsia="Calibri" w:hAnsi="Calibri"/>
              <w:b/>
              <w:bCs/>
              <w:sz w:val="22"/>
              <w:szCs w:val="22"/>
            </w:rPr>
            <w:t xml:space="preserve">4. Discussion prompts</w:t>
          </w:r>
          <w:r>
            <w:rPr>
              <w:rFonts w:ascii="Calibri" w:cs="Calibri" w:eastAsia="Calibri" w:hAnsi="Calibri"/>
              <w:b/>
              <w:bCs/>
              <w:sz w:val="22"/>
              <w:szCs w:val="22"/>
            </w:rPr>
            <w:tab/>
            <w:t>8</w:t>
          </w:r>
        </w:p>
        <w:p>
          <w:pPr>
            <w:tabs>
              <w:tab w:val="right" w:leader="dot" w:pos="9350"/>
            </w:tabs>
            <w:spacing w:before="100" w:after="40"/>
            <w:ind w:left="0"/>
          </w:pPr>
          <w:r>
            <w:rPr>
              <w:rFonts w:ascii="Calibri" w:cs="Calibri" w:eastAsia="Calibri" w:hAnsi="Calibri"/>
              <w:b/>
              <w:bCs/>
              <w:sz w:val="22"/>
              <w:szCs w:val="22"/>
            </w:rPr>
            <w:t xml:space="preserve">5. Knowledge check</w:t>
          </w:r>
          <w:r>
            <w:rPr>
              <w:rFonts w:ascii="Calibri" w:cs="Calibri" w:eastAsia="Calibri" w:hAnsi="Calibri"/>
              <w:b/>
              <w:bCs/>
              <w:sz w:val="22"/>
              <w:szCs w:val="22"/>
            </w:rPr>
            <w:tab/>
            <w:t>9</w:t>
          </w:r>
        </w:p>
        <w:p>
          <w:pPr>
            <w:tabs>
              <w:tab w:val="right" w:leader="dot" w:pos="9350"/>
            </w:tabs>
            <w:spacing w:before="100" w:after="40"/>
            <w:ind w:left="0"/>
          </w:pPr>
          <w:r>
            <w:rPr>
              <w:rFonts w:ascii="Calibri" w:cs="Calibri" w:eastAsia="Calibri" w:hAnsi="Calibri"/>
              <w:b/>
              <w:bCs/>
              <w:sz w:val="22"/>
              <w:szCs w:val="22"/>
            </w:rPr>
            <w:t xml:space="preserve">6. Takeaways and the capstone</w:t>
          </w:r>
          <w:r>
            <w:rPr>
              <w:rFonts w:ascii="Calibri" w:cs="Calibri" w:eastAsia="Calibri" w:hAnsi="Calibri"/>
              <w:b/>
              <w:bCs/>
              <w:sz w:val="22"/>
              <w:szCs w:val="22"/>
            </w:rPr>
            <w:tab/>
            <w:t>10</w:t>
          </w:r>
        </w:p>
        <w:p>
          <w:pPr>
            <w:tabs>
              <w:tab w:val="right" w:leader="dot" w:pos="9350"/>
            </w:tabs>
            <w:spacing w:before="100" w:after="40"/>
            <w:ind w:left="0"/>
          </w:pPr>
          <w:r>
            <w:rPr>
              <w:rFonts w:ascii="Calibri" w:cs="Calibri" w:eastAsia="Calibri" w:hAnsi="Calibri"/>
              <w:b/>
              <w:bCs/>
              <w:sz w:val="22"/>
              <w:szCs w:val="22"/>
            </w:rPr>
            <w:t xml:space="preserve">7. Notes</w:t>
          </w:r>
          <w:r>
            <w:rPr>
              <w:rFonts w:ascii="Calibri" w:cs="Calibri" w:eastAsia="Calibri" w:hAnsi="Calibri"/>
              <w:b/>
              <w:bCs/>
              <w:sz w:val="22"/>
              <w:szCs w:val="22"/>
            </w:rPr>
            <w:tab/>
            <w:t>11</w:t>
          </w:r>
        </w:p>
        <w:p>
          <w:r>
            <w:fldChar w:fldCharType="end"/>
          </w:r>
        </w:p>
      </w:sdtContent>
    </w:sdt>
    <w:p>
      <w:r>
        <w:br w:type="page"/>
      </w:r>
    </w:p>
    <w:p>
      <w:pPr>
        <w:pStyle w:val="Heading1"/>
        <w:spacing w:after="160" w:before="360"/>
      </w:pPr>
      <w:r>
        <w:rPr>
          <w:rFonts w:ascii="Calibri" w:cs="Calibri" w:eastAsia="Calibri" w:hAnsi="Calibri"/>
          <w:b/>
          <w:bCs/>
          <w:color w:val="7A0019"/>
          <w:sz w:val="32"/>
          <w:szCs w:val="32"/>
        </w:rPr>
        <w:t xml:space="preserve">1. Session map</w:t>
      </w:r>
    </w:p>
    <w:p>
      <w:pPr>
        <w:spacing w:after="140" w:line="276"/>
      </w:pPr>
      <w:r>
        <w:rPr>
          <w:rFonts w:ascii="Calibri" w:cs="Calibri" w:eastAsia="Calibri" w:hAnsi="Calibri"/>
          <w:sz w:val="22"/>
          <w:szCs w:val="22"/>
        </w:rPr>
        <w:t xml:space="preserve">Day 2, Session 4: Resilience, Disaster Recovery, and Multi-Region Design. Four hours including a fifteen-minute break.</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98"/>
        <w:gridCol w:w="1310"/>
        <w:gridCol w:w="6552"/>
      </w:tblGrid>
      <w:tr>
        <w:trPr>
          <w:tblHeader/>
        </w:trPr>
        <w:tc>
          <w:tcPr>
            <w:tcW w:type="dxa" w:w="1498"/>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Block</w:t>
            </w:r>
          </w:p>
        </w:tc>
        <w:tc>
          <w:tcPr>
            <w:tcW w:type="dxa" w:w="131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Minutes</w:t>
            </w:r>
          </w:p>
        </w:tc>
        <w:tc>
          <w:tcPr>
            <w:tcW w:type="dxa" w:w="6552"/>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Activity</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1</w:t>
            </w:r>
          </w:p>
        </w:tc>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55</w:t>
            </w:r>
          </w:p>
        </w:tc>
        <w:tc>
          <w:tcPr>
            <w:tcW w:type="dxa" w:w="655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Redundancy options, object replication, and cross-region copy</w:t>
            </w:r>
          </w:p>
        </w:tc>
      </w:tr>
      <w:tr>
        <w:trPr>
          <w:cantSplit/>
        </w:trPr>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2</w:t>
            </w:r>
          </w:p>
        </w:tc>
        <w:tc>
          <w:tcPr>
            <w:tcW w:type="dxa" w:w="131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50</w:t>
            </w:r>
          </w:p>
        </w:tc>
        <w:tc>
          <w:tcPr>
            <w:tcW w:type="dxa" w:w="6552"/>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Azure Site Recovery and the regional loss demonstration</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Break</w:t>
            </w:r>
          </w:p>
        </w:tc>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15</w:t>
            </w:r>
          </w:p>
        </w:tc>
        <w:tc>
          <w:tcPr>
            <w:tcW w:type="dxa" w:w="6552"/>
            <w:tcMar>
              <w:top w:type="dxa" w:w="70"/>
              <w:left w:type="dxa" w:w="100"/>
              <w:bottom w:type="dxa" w:w="70"/>
              <w:right w:type="dxa" w:w="100"/>
            </w:tcMar>
            <w:vAlign w:val="top"/>
          </w:tcPr>
          <w:p>
            <w:pPr>
              <w:spacing w:after="40" w:line="252"/>
            </w:pPr>
          </w:p>
        </w:tc>
      </w:tr>
      <w:tr>
        <w:trPr>
          <w:cantSplit/>
        </w:trPr>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3</w:t>
            </w:r>
          </w:p>
        </w:tc>
        <w:tc>
          <w:tcPr>
            <w:tcW w:type="dxa" w:w="131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40</w:t>
            </w:r>
          </w:p>
        </w:tc>
        <w:tc>
          <w:tcPr>
            <w:tcW w:type="dxa" w:w="6552"/>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RPO and RTO design method and Resiliency in Azure</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4</w:t>
            </w:r>
          </w:p>
        </w:tc>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80</w:t>
            </w:r>
          </w:p>
        </w:tc>
        <w:tc>
          <w:tcPr>
            <w:tcW w:type="dxa" w:w="655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Design exercise and facilitated review</w:t>
            </w:r>
          </w:p>
        </w:tc>
      </w:tr>
    </w:tbl>
    <w:p>
      <w:pPr>
        <w:spacing w:after="120"/>
      </w:pPr>
    </w:p>
    <w:p>
      <w:pPr>
        <w:pStyle w:val="Heading2"/>
        <w:spacing w:after="120" w:before="280"/>
      </w:pPr>
      <w:r>
        <w:rPr>
          <w:rFonts w:ascii="Calibri" w:cs="Calibri" w:eastAsia="Calibri" w:hAnsi="Calibri"/>
          <w:b/>
          <w:bCs/>
          <w:color w:val="7A0019"/>
          <w:sz w:val="27"/>
          <w:szCs w:val="27"/>
        </w:rPr>
        <w:t xml:space="preserve">1.1 What this session covers</w:t>
      </w:r>
    </w:p>
    <w:p>
      <w:pPr>
        <w:spacing w:after="140" w:line="276"/>
      </w:pPr>
      <w:r>
        <w:rPr>
          <w:rFonts w:ascii="Calibri" w:cs="Calibri" w:eastAsia="Calibri" w:hAnsi="Calibri"/>
          <w:sz w:val="22"/>
          <w:szCs w:val="22"/>
        </w:rPr>
        <w:t xml:space="preserve">Enterprise data must be highly available or the university cannot function; research data may tolerate downtime but must never be lost; and holding multiple copies of petabytes is expensive. This session gives the vocabulary and the method: availability, durability, and recoverability as three different promises; what LRS, ZRS, GRS, GZRS, and their read-access variants guarantee and what they do not; customer-managed planned and unplanned failover; object replication and copies beyond Azure; Azure Site Recovery with recovery plans and test failover; a five-step RPO and RTO design method; and Resiliency in Azure as the single view of protection.</w:t>
      </w:r>
    </w:p>
    <w:p>
      <w:pPr>
        <w:spacing w:after="140" w:line="276"/>
      </w:pPr>
      <w:r>
        <w:rPr>
          <w:rFonts w:ascii="Calibri" w:cs="Calibri" w:eastAsia="Calibri" w:hAnsi="Calibri"/>
          <w:sz w:val="22"/>
          <w:szCs w:val="22"/>
        </w:rPr>
        <w:t xml:space="preserve">The design exercise builds the university resilience matrix: six representative workloads, each with redundancy, replication, backup, and DR approach, RPO and RTO, relative cost, and the accepted risk written down.</w:t>
      </w:r>
    </w:p>
    <w:p>
      <w:pPr>
        <w:pStyle w:val="Heading2"/>
        <w:spacing w:after="120" w:before="280"/>
      </w:pPr>
      <w:r>
        <w:rPr>
          <w:rFonts w:ascii="Calibri" w:cs="Calibri" w:eastAsia="Calibri" w:hAnsi="Calibri"/>
          <w:b/>
          <w:bCs/>
          <w:color w:val="7A0019"/>
          <w:sz w:val="27"/>
          <w:szCs w:val="27"/>
        </w:rPr>
        <w:t xml:space="preserve">1.2 Have ready</w:t>
      </w:r>
    </w:p>
    <w:p>
      <w:pPr>
        <w:pStyle w:val="ListParagraph"/>
        <w:numPr>
          <w:ilvl w:val="0"/>
          <w:numId w:val="2"/>
        </w:numPr>
        <w:spacing w:after="90" w:line="264"/>
      </w:pPr>
      <w:r>
        <w:rPr>
          <w:rFonts w:ascii="Calibri" w:cs="Calibri" w:eastAsia="Calibri" w:hAnsi="Calibri"/>
          <w:sz w:val="22"/>
          <w:szCs w:val="22"/>
        </w:rPr>
        <w:t xml:space="preserve">Your current recovery expectations for the enterprise database, the identity platform, and the learning management system, even if they are informal.</w:t>
      </w:r>
    </w:p>
    <w:p>
      <w:pPr>
        <w:pStyle w:val="ListParagraph"/>
        <w:numPr>
          <w:ilvl w:val="0"/>
          <w:numId w:val="2"/>
        </w:numPr>
        <w:spacing w:after="90" w:line="264"/>
      </w:pPr>
      <w:r>
        <w:rPr>
          <w:rFonts w:ascii="Calibri" w:cs="Calibri" w:eastAsia="Calibri" w:hAnsi="Calibri"/>
          <w:sz w:val="22"/>
          <w:szCs w:val="22"/>
        </w:rPr>
        <w:t xml:space="preserve">The Session 1 workbook: whether the research data classes were placed in flat or hierarchical namespace accounts, because it changes the second-copy approach.</w:t>
      </w:r>
    </w:p>
    <w:p>
      <w:pPr>
        <w:pStyle w:val="ListParagraph"/>
        <w:numPr>
          <w:ilvl w:val="0"/>
          <w:numId w:val="2"/>
        </w:numPr>
        <w:spacing w:after="90" w:line="264"/>
      </w:pPr>
      <w:r>
        <w:rPr>
          <w:rFonts w:ascii="Calibri" w:cs="Calibri" w:eastAsia="Calibri" w:hAnsi="Calibri"/>
          <w:sz w:val="22"/>
          <w:szCs w:val="22"/>
        </w:rPr>
        <w:t xml:space="preserve">The cost model workbook open if you have a laptop; the redundancy multipliers are on the Assumptions sheet.</w:t>
      </w:r>
    </w:p>
    <w:p>
      <w:pPr>
        <w:pStyle w:val="Heading2"/>
        <w:spacing w:after="120" w:before="280"/>
      </w:pPr>
      <w:r>
        <w:rPr>
          <w:rFonts w:ascii="Calibri" w:cs="Calibri" w:eastAsia="Calibri" w:hAnsi="Calibri"/>
          <w:b/>
          <w:bCs/>
          <w:color w:val="7A0019"/>
          <w:sz w:val="27"/>
          <w:szCs w:val="27"/>
        </w:rPr>
        <w:t xml:space="preserve">1.3 Materials you will receive</w:t>
      </w:r>
    </w:p>
    <w:p>
      <w:pPr>
        <w:pStyle w:val="ListParagraph"/>
        <w:numPr>
          <w:ilvl w:val="0"/>
          <w:numId w:val="2"/>
        </w:numPr>
        <w:spacing w:after="90" w:line="264"/>
      </w:pPr>
      <w:r>
        <w:rPr>
          <w:rFonts w:ascii="Calibri" w:cs="Calibri" w:eastAsia="Calibri" w:hAnsi="Calibri"/>
          <w:sz w:val="22"/>
          <w:szCs w:val="22"/>
        </w:rPr>
        <w:t xml:space="preserve">Session 4 deck; demo script </w:t>
      </w:r>
      <w:r>
        <w:rPr>
          <w:rFonts w:ascii="Consolas" w:cs="Consolas" w:eastAsia="Consolas" w:hAnsi="Consolas"/>
          <w:sz w:val="20"/>
          <w:szCs w:val="20"/>
          <w:shd w:fill="F7F3EE" w:color="auto" w:val="clear"/>
        </w:rPr>
        <w:t xml:space="preserve">S04_Demo_Script_Regional_Loss_Survived</w:t>
      </w:r>
    </w:p>
    <w:p>
      <w:pPr>
        <w:pStyle w:val="ListParagraph"/>
        <w:numPr>
          <w:ilvl w:val="0"/>
          <w:numId w:val="2"/>
        </w:numPr>
        <w:spacing w:after="90" w:line="264"/>
      </w:pPr>
      <w:r>
        <w:rPr>
          <w:rFonts w:ascii="Calibri" w:cs="Calibri" w:eastAsia="Calibri" w:hAnsi="Calibri"/>
          <w:sz w:val="22"/>
          <w:szCs w:val="22"/>
        </w:rPr>
        <w:t xml:space="preserve">Redundancy option comparison reference card and the sample recovery plan definition (Reference Card Pack and the Bicep bundle)</w:t>
      </w:r>
    </w:p>
    <w:p>
      <w:pPr>
        <w:pStyle w:val="ListParagraph"/>
        <w:numPr>
          <w:ilvl w:val="0"/>
          <w:numId w:val="2"/>
        </w:numPr>
        <w:spacing w:after="90" w:line="264"/>
      </w:pPr>
      <w:r>
        <w:rPr>
          <w:rFonts w:ascii="Consolas" w:cs="Consolas" w:eastAsia="Consolas" w:hAnsi="Consolas"/>
          <w:sz w:val="20"/>
          <w:szCs w:val="20"/>
          <w:shd w:fill="F7F3EE" w:color="auto" w:val="clear"/>
        </w:rPr>
        <w:t xml:space="preserve">UMN_Storage_Cost_Model_Workbook.xlsx</w:t>
      </w:r>
      <w:r>
        <w:rPr>
          <w:rFonts w:ascii="Calibri" w:cs="Calibri" w:eastAsia="Calibri" w:hAnsi="Calibri"/>
          <w:sz w:val="22"/>
          <w:szCs w:val="22"/>
        </w:rPr>
        <w:t xml:space="preserve"> (Scenarios and EgressAndCopies sheets) for the cost lines</w:t>
      </w:r>
    </w:p>
    <w:p>
      <w:pPr>
        <w:pStyle w:val="ListParagraph"/>
        <w:numPr>
          <w:ilvl w:val="0"/>
          <w:numId w:val="2"/>
        </w:numPr>
        <w:spacing w:after="90" w:line="264"/>
      </w:pPr>
      <w:r>
        <w:rPr>
          <w:rFonts w:ascii="Calibri" w:cs="Calibri" w:eastAsia="Calibri" w:hAnsi="Calibri"/>
          <w:sz w:val="22"/>
          <w:szCs w:val="22"/>
        </w:rPr>
        <w:t xml:space="preserve">This workbook (participants, including the resilience matrix worksheet) and the facilitator guide (instructor, with the model matrix)</w:t>
      </w:r>
    </w:p>
    <w:p>
      <w:pPr>
        <w:pStyle w:val="Heading1"/>
        <w:spacing w:after="160" w:before="360"/>
      </w:pPr>
      <w:r>
        <w:rPr>
          <w:rFonts w:ascii="Calibri" w:cs="Calibri" w:eastAsia="Calibri" w:hAnsi="Calibri"/>
          <w:b/>
          <w:bCs/>
          <w:color w:val="7A0019"/>
          <w:sz w:val="32"/>
          <w:szCs w:val="32"/>
        </w:rPr>
        <w:t xml:space="preserve">2. Block 1 checkpoint: sort your data classes</w:t>
      </w:r>
    </w:p>
    <w:p>
      <w:pPr>
        <w:spacing w:after="140" w:line="276"/>
      </w:pPr>
      <w:r>
        <w:rPr>
          <w:rFonts w:ascii="Calibri" w:cs="Calibri" w:eastAsia="Calibri" w:hAnsi="Calibri"/>
          <w:sz w:val="22"/>
          <w:szCs w:val="22"/>
        </w:rPr>
        <w:t xml:space="preserve">Three questions about the university's data classes. Name classes, not systems.</w:t>
      </w:r>
    </w:p>
    <w:p>
      <w:pPr>
        <w:pStyle w:val="Heading3"/>
        <w:spacing w:after="80" w:before="200"/>
      </w:pPr>
      <w:r>
        <w:rPr>
          <w:rFonts w:ascii="Calibri" w:cs="Calibri" w:eastAsia="Calibri" w:hAnsi="Calibri"/>
          <w:b/>
          <w:bCs/>
          <w:color w:val="595959"/>
          <w:sz w:val="23"/>
          <w:szCs w:val="23"/>
        </w:rPr>
        <w:t xml:space="preserve">Question 1</w:t>
      </w:r>
    </w:p>
    <w:p>
      <w:pPr>
        <w:spacing w:after="140" w:line="276"/>
      </w:pPr>
      <w:r>
        <w:rPr>
          <w:rFonts w:ascii="Calibri" w:cs="Calibri" w:eastAsia="Calibri" w:hAnsi="Calibri"/>
          <w:sz w:val="22"/>
          <w:szCs w:val="22"/>
        </w:rPr>
        <w:t xml:space="preserve">Which data classes need to survive a regional loss?</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Question 2</w:t>
      </w:r>
    </w:p>
    <w:p>
      <w:pPr>
        <w:spacing w:after="140" w:line="276"/>
      </w:pPr>
      <w:r>
        <w:rPr>
          <w:rFonts w:ascii="Calibri" w:cs="Calibri" w:eastAsia="Calibri" w:hAnsi="Calibri"/>
          <w:sz w:val="22"/>
          <w:szCs w:val="22"/>
        </w:rPr>
        <w:t xml:space="preserve">Which need to stay available during a regional loss?</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Question 3</w:t>
      </w:r>
    </w:p>
    <w:p>
      <w:pPr>
        <w:spacing w:after="140" w:line="276"/>
      </w:pPr>
      <w:r>
        <w:rPr>
          <w:rFonts w:ascii="Calibri" w:cs="Calibri" w:eastAsia="Calibri" w:hAnsi="Calibri"/>
          <w:sz w:val="22"/>
          <w:szCs w:val="22"/>
        </w:rPr>
        <w:t xml:space="preserve">Which need a copy outside Azure entirely?</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1"/>
        <w:spacing w:after="160" w:before="360"/>
      </w:pPr>
      <w:r>
        <w:rPr>
          <w:rFonts w:ascii="Calibri" w:cs="Calibri" w:eastAsia="Calibri" w:hAnsi="Calibri"/>
          <w:b/>
          <w:bCs/>
          <w:color w:val="7A0019"/>
          <w:sz w:val="32"/>
          <w:szCs w:val="32"/>
        </w:rPr>
        <w:t xml:space="preserve">3. Design exercise: the university resilience matrix</w:t>
      </w:r>
    </w:p>
    <w:p>
      <w:pPr>
        <w:spacing w:after="140" w:line="276"/>
      </w:pPr>
      <w:r>
        <w:rPr>
          <w:rFonts w:ascii="Calibri" w:cs="Calibri" w:eastAsia="Calibri" w:hAnsi="Calibri"/>
          <w:sz w:val="22"/>
          <w:szCs w:val="22"/>
        </w:rPr>
        <w:t xml:space="preserve">In groups, build the resilience matrix for six representative workloads: the enterprise database (Oracle ERP), the identity platform, learning management data, an active research dataset, a cold research archive, and a departmental file share. For each, select redundancy, replication, backup, and DR approach; assign RPO and RTO; estimate relative cost (low, medium, high, with the multiplier from the cost model if you can); and write down the accepted risk and who accepts it.</w:t>
      </w:r>
    </w:p>
    <w:p>
      <w:pPr>
        <w:spacing w:after="140" w:line="276"/>
      </w:pPr>
      <w:r>
        <w:rPr>
          <w:rFonts w:ascii="Calibri" w:cs="Calibri" w:eastAsia="Calibri" w:hAnsi="Calibri"/>
          <w:sz w:val="22"/>
          <w:szCs w:val="22"/>
        </w:rPr>
        <w:t xml:space="preserve">Two workloads have a twist. The active research dataset's answer depends on whether your Session 1 design put it in a flat or hierarchical namespace account. The cold research archive's second copy must be made while the data is online (or with a tool that rehydrates first), because object replication cannot read archived blobs.</w:t>
      </w:r>
    </w:p>
    <w:p>
      <w:pPr>
        <w:pStyle w:val="Heading2"/>
        <w:spacing w:after="120" w:before="280"/>
      </w:pPr>
      <w:r>
        <w:rPr>
          <w:rFonts w:ascii="Calibri" w:cs="Calibri" w:eastAsia="Calibri" w:hAnsi="Calibri"/>
          <w:b/>
          <w:bCs/>
          <w:color w:val="7A0019"/>
          <w:sz w:val="27"/>
          <w:szCs w:val="27"/>
        </w:rPr>
        <w:t xml:space="preserve">3.1 Steps</w:t>
      </w:r>
    </w:p>
    <w:p>
      <w:pPr>
        <w:pStyle w:val="ListParagraph"/>
        <w:numPr>
          <w:ilvl w:val="0"/>
          <w:numId w:val="3"/>
        </w:numPr>
        <w:spacing w:after="90" w:line="264"/>
      </w:pPr>
      <w:r>
        <w:rPr>
          <w:rFonts w:ascii="Calibri" w:cs="Calibri" w:eastAsia="Calibri" w:hAnsi="Calibri"/>
          <w:sz w:val="22"/>
          <w:szCs w:val="22"/>
        </w:rPr>
        <w:t xml:space="preserve">Agree the four resilience tiers your group will use (mission critical, business important, research active, research archive) and the RPO and RTO you attach to each. Record them in Worksheet 1.</w:t>
      </w:r>
    </w:p>
    <w:p>
      <w:pPr>
        <w:pStyle w:val="ListParagraph"/>
        <w:numPr>
          <w:ilvl w:val="0"/>
          <w:numId w:val="3"/>
        </w:numPr>
        <w:spacing w:after="90" w:line="264"/>
      </w:pPr>
      <w:r>
        <w:rPr>
          <w:rFonts w:ascii="Calibri" w:cs="Calibri" w:eastAsia="Calibri" w:hAnsi="Calibri"/>
          <w:sz w:val="22"/>
          <w:szCs w:val="22"/>
        </w:rPr>
        <w:t xml:space="preserve">Place each of the six workloads in a tier and complete Worksheet 2: redundancy, replication, backup, DR, RPO, RTO, relative cost.</w:t>
      </w:r>
    </w:p>
    <w:p>
      <w:pPr>
        <w:pStyle w:val="ListParagraph"/>
        <w:numPr>
          <w:ilvl w:val="0"/>
          <w:numId w:val="3"/>
        </w:numPr>
        <w:spacing w:after="90" w:line="264"/>
      </w:pPr>
      <w:r>
        <w:rPr>
          <w:rFonts w:ascii="Calibri" w:cs="Calibri" w:eastAsia="Calibri" w:hAnsi="Calibri"/>
          <w:sz w:val="22"/>
          <w:szCs w:val="22"/>
        </w:rPr>
        <w:t xml:space="preserve">Complete Worksheet 3: the accepted risk for each workload and who accepts it (a role, not a person).</w:t>
      </w:r>
    </w:p>
    <w:p>
      <w:pPr>
        <w:pStyle w:val="ListParagraph"/>
        <w:numPr>
          <w:ilvl w:val="0"/>
          <w:numId w:val="3"/>
        </w:numPr>
        <w:spacing w:after="90" w:line="264"/>
      </w:pPr>
      <w:r>
        <w:rPr>
          <w:rFonts w:ascii="Calibri" w:cs="Calibri" w:eastAsia="Calibri" w:hAnsi="Calibri"/>
          <w:sz w:val="22"/>
          <w:szCs w:val="22"/>
        </w:rPr>
        <w:t xml:space="preserve">For the two workloads with twists, write one sentence each explaining the second-copy mechanism.</w:t>
      </w:r>
    </w:p>
    <w:p>
      <w:pPr>
        <w:pStyle w:val="ListParagraph"/>
        <w:numPr>
          <w:ilvl w:val="0"/>
          <w:numId w:val="3"/>
        </w:numPr>
        <w:spacing w:after="90" w:line="264"/>
      </w:pPr>
      <w:r>
        <w:rPr>
          <w:rFonts w:ascii="Calibri" w:cs="Calibri" w:eastAsia="Calibri" w:hAnsi="Calibri"/>
          <w:sz w:val="22"/>
          <w:szCs w:val="22"/>
        </w:rPr>
        <w:t xml:space="preserve">Prepare to defend the matrix in the facilitated review against the four review lenses.</w:t>
      </w:r>
    </w:p>
    <w:p>
      <w:pPr>
        <w:pStyle w:val="Heading2"/>
        <w:spacing w:after="120" w:before="280"/>
      </w:pPr>
      <w:r>
        <w:rPr>
          <w:rFonts w:ascii="Calibri" w:cs="Calibri" w:eastAsia="Calibri" w:hAnsi="Calibri"/>
          <w:b/>
          <w:bCs/>
          <w:color w:val="7A0019"/>
          <w:sz w:val="27"/>
          <w:szCs w:val="27"/>
        </w:rPr>
        <w:t xml:space="preserve">3.2 Worksheet: resilience tiers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72"/>
        <w:gridCol w:w="1310"/>
        <w:gridCol w:w="1310"/>
        <w:gridCol w:w="3370"/>
        <w:gridCol w:w="1498"/>
      </w:tblGrid>
      <w:tr>
        <w:trPr>
          <w:tblHeader/>
        </w:trPr>
        <w:tc>
          <w:tcPr>
            <w:tcW w:type="dxa" w:w="1872"/>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Tier</w:t>
            </w:r>
          </w:p>
        </w:tc>
        <w:tc>
          <w:tcPr>
            <w:tcW w:type="dxa" w:w="131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Typical RPO</w:t>
            </w:r>
          </w:p>
        </w:tc>
        <w:tc>
          <w:tcPr>
            <w:tcW w:type="dxa" w:w="131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Typical RTO</w:t>
            </w:r>
          </w:p>
        </w:tc>
        <w:tc>
          <w:tcPr>
            <w:tcW w:type="dxa" w:w="337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Azure building blocks</w:t>
            </w:r>
          </w:p>
        </w:tc>
        <w:tc>
          <w:tcPr>
            <w:tcW w:type="dxa" w:w="1498"/>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Relative cost</w:t>
            </w:r>
          </w:p>
        </w:tc>
      </w:tr>
      <w:tr>
        <w:trPr>
          <w:cantSplit/>
        </w:trPr>
        <w:tc>
          <w:tcPr>
            <w:tcW w:type="dxa" w:w="187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Mission critical</w:t>
            </w:r>
          </w:p>
          <w:p>
            <w:pPr>
              <w:spacing w:after="0" w:line="400"/>
            </w:pPr>
            <w:r>
              <w:rPr>
                <w:sz w:val="20"/>
                <w:szCs w:val="20"/>
              </w:rPr>
              <w:t xml:space="preserve"> </w:t>
            </w:r>
          </w:p>
          <w:p>
            <w:pPr>
              <w:spacing w:after="0" w:line="400"/>
            </w:pPr>
            <w:r>
              <w:rPr>
                <w:sz w:val="20"/>
                <w:szCs w:val="20"/>
              </w:rPr>
              <w:t xml:space="preserve"> </w:t>
            </w:r>
          </w:p>
        </w:tc>
        <w:tc>
          <w:tcPr>
            <w:tcW w:type="dxa" w:w="131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31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337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49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187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Business important</w:t>
            </w:r>
          </w:p>
          <w:p>
            <w:pPr>
              <w:spacing w:after="0" w:line="400"/>
            </w:pPr>
            <w:r>
              <w:rPr>
                <w:sz w:val="20"/>
                <w:szCs w:val="20"/>
              </w:rPr>
              <w:t xml:space="preserve"> </w:t>
            </w:r>
          </w:p>
          <w:p>
            <w:pPr>
              <w:spacing w:after="0" w:line="400"/>
            </w:pPr>
            <w:r>
              <w:rPr>
                <w:sz w:val="20"/>
                <w:szCs w:val="20"/>
              </w:rPr>
              <w:t xml:space="preserve"> </w:t>
            </w:r>
          </w:p>
        </w:tc>
        <w:tc>
          <w:tcPr>
            <w:tcW w:type="dxa" w:w="131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31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337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49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187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Research active</w:t>
            </w:r>
          </w:p>
          <w:p>
            <w:pPr>
              <w:spacing w:after="0" w:line="400"/>
            </w:pPr>
            <w:r>
              <w:rPr>
                <w:sz w:val="20"/>
                <w:szCs w:val="20"/>
              </w:rPr>
              <w:t xml:space="preserve"> </w:t>
            </w:r>
          </w:p>
          <w:p>
            <w:pPr>
              <w:spacing w:after="0" w:line="400"/>
            </w:pPr>
            <w:r>
              <w:rPr>
                <w:sz w:val="20"/>
                <w:szCs w:val="20"/>
              </w:rPr>
              <w:t xml:space="preserve"> </w:t>
            </w:r>
          </w:p>
        </w:tc>
        <w:tc>
          <w:tcPr>
            <w:tcW w:type="dxa" w:w="131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31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337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49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187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Research archive</w:t>
            </w:r>
          </w:p>
          <w:p>
            <w:pPr>
              <w:spacing w:after="0" w:line="400"/>
            </w:pPr>
            <w:r>
              <w:rPr>
                <w:sz w:val="20"/>
                <w:szCs w:val="20"/>
              </w:rPr>
              <w:t xml:space="preserve"> </w:t>
            </w:r>
          </w:p>
          <w:p>
            <w:pPr>
              <w:spacing w:after="0" w:line="400"/>
            </w:pPr>
            <w:r>
              <w:rPr>
                <w:sz w:val="20"/>
                <w:szCs w:val="20"/>
              </w:rPr>
              <w:t xml:space="preserve"> </w:t>
            </w:r>
          </w:p>
        </w:tc>
        <w:tc>
          <w:tcPr>
            <w:tcW w:type="dxa" w:w="131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31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337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1498"/>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bl>
    <w:p>
      <w:pPr>
        <w:spacing w:after="120"/>
      </w:pPr>
    </w:p>
    <w:p>
      <w:pPr>
        <w:pStyle w:val="Heading2"/>
        <w:spacing w:after="120" w:before="280"/>
      </w:pPr>
      <w:r>
        <w:rPr>
          <w:rFonts w:ascii="Calibri" w:cs="Calibri" w:eastAsia="Calibri" w:hAnsi="Calibri"/>
          <w:b/>
          <w:bCs/>
          <w:color w:val="7A0019"/>
          <w:sz w:val="27"/>
          <w:szCs w:val="27"/>
        </w:rPr>
        <w:t xml:space="preserve">3.3 Worksheet: the six workloads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98"/>
        <w:gridCol w:w="842"/>
        <w:gridCol w:w="1217"/>
        <w:gridCol w:w="1310"/>
        <w:gridCol w:w="1030"/>
        <w:gridCol w:w="1217"/>
        <w:gridCol w:w="749"/>
        <w:gridCol w:w="749"/>
        <w:gridCol w:w="749"/>
      </w:tblGrid>
      <w:tr>
        <w:trPr>
          <w:tblHeader/>
        </w:trPr>
        <w:tc>
          <w:tcPr>
            <w:tcW w:type="dxa" w:w="1498"/>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Workload</w:t>
            </w:r>
          </w:p>
        </w:tc>
        <w:tc>
          <w:tcPr>
            <w:tcW w:type="dxa" w:w="842"/>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Tier</w:t>
            </w:r>
          </w:p>
        </w:tc>
        <w:tc>
          <w:tcPr>
            <w:tcW w:type="dxa" w:w="1217"/>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Redundancy</w:t>
            </w:r>
          </w:p>
        </w:tc>
        <w:tc>
          <w:tcPr>
            <w:tcW w:type="dxa" w:w="131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Replication or second copy</w:t>
            </w:r>
          </w:p>
        </w:tc>
        <w:tc>
          <w:tcPr>
            <w:tcW w:type="dxa" w:w="103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Backup</w:t>
            </w:r>
          </w:p>
        </w:tc>
        <w:tc>
          <w:tcPr>
            <w:tcW w:type="dxa" w:w="1217"/>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DR approach</w:t>
            </w:r>
          </w:p>
        </w:tc>
        <w:tc>
          <w:tcPr>
            <w:tcW w:type="dxa" w:w="74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RPO</w:t>
            </w:r>
          </w:p>
        </w:tc>
        <w:tc>
          <w:tcPr>
            <w:tcW w:type="dxa" w:w="74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RTO</w:t>
            </w:r>
          </w:p>
        </w:tc>
        <w:tc>
          <w:tcPr>
            <w:tcW w:type="dxa" w:w="74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Cost</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Enterprise database (Oracle ERP)</w:t>
            </w: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842"/>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217"/>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31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03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217"/>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74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74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74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Identity platform</w:t>
            </w: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842"/>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217"/>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31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03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217"/>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74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74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74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Learning management data</w:t>
            </w: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842"/>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217"/>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31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03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217"/>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74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74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74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Active research dataset</w:t>
            </w: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842"/>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217"/>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31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03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217"/>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74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74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74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Cold research archive</w:t>
            </w: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842"/>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217"/>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31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03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217"/>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74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74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74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Departmental file share</w:t>
            </w: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842"/>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217"/>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31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03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1217"/>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74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74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74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r>
    </w:tbl>
    <w:p>
      <w:pPr>
        <w:spacing w:after="120"/>
      </w:pPr>
    </w:p>
    <w:p>
      <w:pPr>
        <w:pStyle w:val="Heading2"/>
        <w:spacing w:after="120" w:before="280"/>
      </w:pPr>
      <w:r>
        <w:rPr>
          <w:rFonts w:ascii="Calibri" w:cs="Calibri" w:eastAsia="Calibri" w:hAnsi="Calibri"/>
          <w:b/>
          <w:bCs/>
          <w:color w:val="7A0019"/>
          <w:sz w:val="27"/>
          <w:szCs w:val="27"/>
        </w:rPr>
        <w:t xml:space="preserve">3.4 Worksheet: accepted risk</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46"/>
        <w:gridCol w:w="4680"/>
        <w:gridCol w:w="2434"/>
      </w:tblGrid>
      <w:tr>
        <w:trPr>
          <w:tblHeader/>
        </w:trPr>
        <w:tc>
          <w:tcPr>
            <w:tcW w:type="dxa" w:w="2246"/>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Workload</w:t>
            </w:r>
          </w:p>
        </w:tc>
        <w:tc>
          <w:tcPr>
            <w:tcW w:type="dxa" w:w="468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What is NOT protected against (the accepted risk)</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Who accepts it (role)</w:t>
            </w:r>
          </w:p>
        </w:tc>
      </w:tr>
      <w:tr>
        <w:trPr>
          <w:cantSplit/>
        </w:trPr>
        <w:tc>
          <w:tcPr>
            <w:tcW w:type="dxa" w:w="2246"/>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Enterprise database</w:t>
            </w:r>
          </w:p>
          <w:p>
            <w:pPr>
              <w:spacing w:after="0" w:line="400"/>
            </w:pPr>
            <w:r>
              <w:rPr>
                <w:sz w:val="20"/>
                <w:szCs w:val="20"/>
              </w:rPr>
              <w:t xml:space="preserve"> </w:t>
            </w:r>
          </w:p>
          <w:p>
            <w:pPr>
              <w:spacing w:after="0" w:line="400"/>
            </w:pPr>
            <w:r>
              <w:rPr>
                <w:sz w:val="20"/>
                <w:szCs w:val="20"/>
              </w:rPr>
              <w:t xml:space="preserve"> </w:t>
            </w:r>
          </w:p>
        </w:tc>
        <w:tc>
          <w:tcPr>
            <w:tcW w:type="dxa" w:w="468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246"/>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Identity platform</w:t>
            </w:r>
          </w:p>
          <w:p>
            <w:pPr>
              <w:spacing w:after="0" w:line="400"/>
            </w:pPr>
            <w:r>
              <w:rPr>
                <w:sz w:val="20"/>
                <w:szCs w:val="20"/>
              </w:rPr>
              <w:t xml:space="preserve"> </w:t>
            </w:r>
          </w:p>
          <w:p>
            <w:pPr>
              <w:spacing w:after="0" w:line="400"/>
            </w:pPr>
            <w:r>
              <w:rPr>
                <w:sz w:val="20"/>
                <w:szCs w:val="20"/>
              </w:rPr>
              <w:t xml:space="preserve"> </w:t>
            </w:r>
          </w:p>
        </w:tc>
        <w:tc>
          <w:tcPr>
            <w:tcW w:type="dxa" w:w="468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246"/>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Learning management data</w:t>
            </w:r>
          </w:p>
          <w:p>
            <w:pPr>
              <w:spacing w:after="0" w:line="400"/>
            </w:pPr>
            <w:r>
              <w:rPr>
                <w:sz w:val="20"/>
                <w:szCs w:val="20"/>
              </w:rPr>
              <w:t xml:space="preserve"> </w:t>
            </w:r>
          </w:p>
          <w:p>
            <w:pPr>
              <w:spacing w:after="0" w:line="400"/>
            </w:pPr>
            <w:r>
              <w:rPr>
                <w:sz w:val="20"/>
                <w:szCs w:val="20"/>
              </w:rPr>
              <w:t xml:space="preserve"> </w:t>
            </w:r>
          </w:p>
        </w:tc>
        <w:tc>
          <w:tcPr>
            <w:tcW w:type="dxa" w:w="468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246"/>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Active research dataset</w:t>
            </w:r>
          </w:p>
          <w:p>
            <w:pPr>
              <w:spacing w:after="0" w:line="400"/>
            </w:pPr>
            <w:r>
              <w:rPr>
                <w:sz w:val="20"/>
                <w:szCs w:val="20"/>
              </w:rPr>
              <w:t xml:space="preserve"> </w:t>
            </w:r>
          </w:p>
          <w:p>
            <w:pPr>
              <w:spacing w:after="0" w:line="400"/>
            </w:pPr>
            <w:r>
              <w:rPr>
                <w:sz w:val="20"/>
                <w:szCs w:val="20"/>
              </w:rPr>
              <w:t xml:space="preserve"> </w:t>
            </w:r>
          </w:p>
        </w:tc>
        <w:tc>
          <w:tcPr>
            <w:tcW w:type="dxa" w:w="468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246"/>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Cold research archive</w:t>
            </w:r>
          </w:p>
          <w:p>
            <w:pPr>
              <w:spacing w:after="0" w:line="400"/>
            </w:pPr>
            <w:r>
              <w:rPr>
                <w:sz w:val="20"/>
                <w:szCs w:val="20"/>
              </w:rPr>
              <w:t xml:space="preserve"> </w:t>
            </w:r>
          </w:p>
          <w:p>
            <w:pPr>
              <w:spacing w:after="0" w:line="400"/>
            </w:pPr>
            <w:r>
              <w:rPr>
                <w:sz w:val="20"/>
                <w:szCs w:val="20"/>
              </w:rPr>
              <w:t xml:space="preserve"> </w:t>
            </w:r>
          </w:p>
        </w:tc>
        <w:tc>
          <w:tcPr>
            <w:tcW w:type="dxa" w:w="468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246"/>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Departmental file share</w:t>
            </w:r>
          </w:p>
          <w:p>
            <w:pPr>
              <w:spacing w:after="0" w:line="400"/>
            </w:pPr>
            <w:r>
              <w:rPr>
                <w:sz w:val="20"/>
                <w:szCs w:val="20"/>
              </w:rPr>
              <w:t xml:space="preserve"> </w:t>
            </w:r>
          </w:p>
          <w:p>
            <w:pPr>
              <w:spacing w:after="0" w:line="400"/>
            </w:pPr>
            <w:r>
              <w:rPr>
                <w:sz w:val="20"/>
                <w:szCs w:val="20"/>
              </w:rPr>
              <w:t xml:space="preserve"> </w:t>
            </w:r>
          </w:p>
        </w:tc>
        <w:tc>
          <w:tcPr>
            <w:tcW w:type="dxa" w:w="4680"/>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bl>
    <w:p>
      <w:pPr>
        <w:spacing w:after="120"/>
      </w:pPr>
    </w:p>
    <w:p>
      <w:pPr>
        <w:pStyle w:val="Heading2"/>
        <w:spacing w:after="120" w:before="280"/>
      </w:pPr>
      <w:r>
        <w:rPr>
          <w:rFonts w:ascii="Calibri" w:cs="Calibri" w:eastAsia="Calibri" w:hAnsi="Calibri"/>
          <w:b/>
          <w:bCs/>
          <w:color w:val="7A0019"/>
          <w:sz w:val="27"/>
          <w:szCs w:val="27"/>
        </w:rPr>
        <w:t xml:space="preserve">3.5 What you present</w:t>
      </w:r>
    </w:p>
    <w:p>
      <w:pPr>
        <w:pStyle w:val="ListParagraph"/>
        <w:numPr>
          <w:ilvl w:val="0"/>
          <w:numId w:val="2"/>
        </w:numPr>
        <w:spacing w:after="90" w:line="264"/>
      </w:pPr>
      <w:r>
        <w:rPr>
          <w:rFonts w:ascii="Calibri" w:cs="Calibri" w:eastAsia="Calibri" w:hAnsi="Calibri"/>
          <w:sz w:val="22"/>
          <w:szCs w:val="22"/>
        </w:rPr>
        <w:t xml:space="preserve">The completed matrix (Worksheet 2) and the accepted-risk table (Worksheet 3).</w:t>
      </w:r>
    </w:p>
    <w:p>
      <w:pPr>
        <w:pStyle w:val="ListParagraph"/>
        <w:numPr>
          <w:ilvl w:val="0"/>
          <w:numId w:val="2"/>
        </w:numPr>
        <w:spacing w:after="90" w:line="264"/>
      </w:pPr>
      <w:r>
        <w:rPr>
          <w:rFonts w:ascii="Calibri" w:cs="Calibri" w:eastAsia="Calibri" w:hAnsi="Calibri"/>
          <w:sz w:val="22"/>
          <w:szCs w:val="22"/>
        </w:rPr>
        <w:t xml:space="preserve">Two sentences: the second-copy mechanism for the active dataset and for the cold archive.</w:t>
      </w:r>
    </w:p>
    <w:p>
      <w:pPr>
        <w:pStyle w:val="ListParagraph"/>
        <w:numPr>
          <w:ilvl w:val="0"/>
          <w:numId w:val="2"/>
        </w:numPr>
        <w:spacing w:after="90" w:line="264"/>
      </w:pPr>
      <w:r>
        <w:rPr>
          <w:rFonts w:ascii="Calibri" w:cs="Calibri" w:eastAsia="Calibri" w:hAnsi="Calibri"/>
          <w:sz w:val="22"/>
          <w:szCs w:val="22"/>
        </w:rPr>
        <w:t xml:space="preserve">The one workload where the group disagreed, and how it was settled.</w:t>
      </w:r>
    </w:p>
    <w:p>
      <w:pPr>
        <w:pStyle w:val="Heading2"/>
        <w:spacing w:after="120" w:before="280"/>
      </w:pPr>
      <w:r>
        <w:rPr>
          <w:rFonts w:ascii="Calibri" w:cs="Calibri" w:eastAsia="Calibri" w:hAnsi="Calibri"/>
          <w:b/>
          <w:bCs/>
          <w:color w:val="7A0019"/>
          <w:sz w:val="27"/>
          <w:szCs w:val="27"/>
        </w:rPr>
        <w:t xml:space="preserve">3.6 How your design will be critiqued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59"/>
        <w:gridCol w:w="3650"/>
        <w:gridCol w:w="3650"/>
      </w:tblGrid>
      <w:tr>
        <w:trPr>
          <w:tblHeader/>
        </w:trPr>
        <w:tc>
          <w:tcPr>
            <w:tcW w:type="dxa" w:w="205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Lens</w:t>
            </w:r>
          </w:p>
        </w:tc>
        <w:tc>
          <w:tcPr>
            <w:tcW w:type="dxa" w:w="365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Meets</w:t>
            </w:r>
          </w:p>
        </w:tc>
        <w:tc>
          <w:tcPr>
            <w:tcW w:type="dxa" w:w="365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Exceeds</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RPO and RTO match business impact</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Tiers defined with numbers; each workload placed with a reason</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Different RPO and RTO for data loss versus availability on the same workload</w:t>
            </w:r>
          </w:p>
        </w:tc>
      </w:tr>
      <w:tr>
        <w:trPr>
          <w:cantSplit/>
        </w:trPr>
        <w:tc>
          <w:tcPr>
            <w:tcW w:type="dxa" w:w="2059"/>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Redundancy covers the feared failure</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Zone versus region loss named per workload</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Account failover and feature conflicts (object replication, NFS) acknowledged</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Recoverable copy outside the blast radius</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Backup or replication separate from the primary administrative scope</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 copy outside Azure for the archive, with integrity manifests</w:t>
            </w:r>
          </w:p>
        </w:tc>
      </w:tr>
      <w:tr>
        <w:trPr>
          <w:cantSplit/>
        </w:trPr>
        <w:tc>
          <w:tcPr>
            <w:tcW w:type="dxa" w:w="2059"/>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Honest cost line and written risk</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Relative cost and accepted risk stated for every workload</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Multipliers from the cost model used; risk owner is a named role</w:t>
            </w:r>
          </w:p>
        </w:tc>
      </w:tr>
    </w:tbl>
    <w:p>
      <w:pPr>
        <w:spacing w:after="120"/>
      </w:pPr>
    </w:p>
    <w:p>
      <w:pPr>
        <w:pStyle w:val="Heading1"/>
        <w:spacing w:after="160" w:before="360"/>
      </w:pPr>
      <w:r>
        <w:rPr>
          <w:rFonts w:ascii="Calibri" w:cs="Calibri" w:eastAsia="Calibri" w:hAnsi="Calibri"/>
          <w:b/>
          <w:bCs/>
          <w:color w:val="7A0019"/>
          <w:sz w:val="32"/>
          <w:szCs w:val="32"/>
        </w:rPr>
        <w:t xml:space="preserve">4. Discussion prompts</w:t>
      </w:r>
    </w:p>
    <w:p>
      <w:pPr>
        <w:spacing w:after="140" w:line="276"/>
      </w:pPr>
      <w:r>
        <w:rPr>
          <w:rFonts w:ascii="Calibri" w:cs="Calibri" w:eastAsia="Calibri" w:hAnsi="Calibri"/>
          <w:sz w:val="22"/>
          <w:szCs w:val="22"/>
        </w:rPr>
        <w:t xml:space="preserve">Work through these in your group or with a neighbor during the time the facilitator calls out. Write enough that you can defend the position in the room.</w:t>
      </w:r>
    </w:p>
    <w:p>
      <w:pPr>
        <w:pStyle w:val="Heading3"/>
        <w:spacing w:after="80" w:before="200"/>
      </w:pPr>
      <w:r>
        <w:rPr>
          <w:rFonts w:ascii="Calibri" w:cs="Calibri" w:eastAsia="Calibri" w:hAnsi="Calibri"/>
          <w:b/>
          <w:bCs/>
          <w:color w:val="595959"/>
          <w:sz w:val="23"/>
          <w:szCs w:val="23"/>
        </w:rPr>
        <w:t xml:space="preserve">Prompt 1</w:t>
      </w:r>
    </w:p>
    <w:p>
      <w:pPr>
        <w:spacing w:after="140" w:line="276"/>
      </w:pPr>
      <w:r>
        <w:rPr>
          <w:rFonts w:ascii="Calibri" w:cs="Calibri" w:eastAsia="Calibri" w:hAnsi="Calibri"/>
          <w:sz w:val="22"/>
          <w:szCs w:val="22"/>
        </w:rPr>
        <w:t xml:space="preserve">Availability, durability, recoverability: for the identity platform, which one does the university have today, and which one is it missing?</w:t>
      </w:r>
    </w:p>
    <w:p>
      <w:pPr>
        <w:spacing w:after="140" w:line="276"/>
      </w:pPr>
      <w:r>
        <w:rPr>
          <w:rFonts w:ascii="Calibri" w:cs="Calibri" w:eastAsia="Calibri" w:hAnsi="Calibri"/>
          <w:i/>
          <w:iCs/>
          <w:color w:val="595959"/>
          <w:sz w:val="20"/>
          <w:szCs w:val="20"/>
        </w:rPr>
        <w:t xml:space="preserve">Block 1 opening.</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Prompt 2</w:t>
      </w:r>
    </w:p>
    <w:p>
      <w:pPr>
        <w:spacing w:after="140" w:line="276"/>
      </w:pPr>
      <w:r>
        <w:rPr>
          <w:rFonts w:ascii="Calibri" w:cs="Calibri" w:eastAsia="Calibri" w:hAnsi="Calibri"/>
          <w:sz w:val="22"/>
          <w:szCs w:val="22"/>
        </w:rPr>
        <w:t xml:space="preserve">The planned account failover in the demo took time and made the account unavailable for writes during the swap. How would you schedule a DR drill around that for the enterprise application?</w:t>
      </w:r>
    </w:p>
    <w:p>
      <w:pPr>
        <w:spacing w:after="140" w:line="276"/>
      </w:pPr>
      <w:r>
        <w:rPr>
          <w:rFonts w:ascii="Calibri" w:cs="Calibri" w:eastAsia="Calibri" w:hAnsi="Calibri"/>
          <w:i/>
          <w:iCs/>
          <w:color w:val="595959"/>
          <w:sz w:val="20"/>
          <w:szCs w:val="20"/>
        </w:rPr>
        <w:t xml:space="preserve">Block 2.</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Prompt 3</w:t>
      </w:r>
    </w:p>
    <w:p>
      <w:pPr>
        <w:spacing w:after="140" w:line="276"/>
      </w:pPr>
      <w:r>
        <w:rPr>
          <w:rFonts w:ascii="Calibri" w:cs="Calibri" w:eastAsia="Calibri" w:hAnsi="Calibri"/>
          <w:sz w:val="22"/>
          <w:szCs w:val="22"/>
        </w:rPr>
        <w:t xml:space="preserve">Resiliency in Azure shows protection status for every vault and replicated item. What would you put on a monthly review agenda from it?</w:t>
      </w:r>
    </w:p>
    <w:p>
      <w:pPr>
        <w:spacing w:after="140" w:line="276"/>
      </w:pPr>
      <w:r>
        <w:rPr>
          <w:rFonts w:ascii="Calibri" w:cs="Calibri" w:eastAsia="Calibri" w:hAnsi="Calibri"/>
          <w:i/>
          <w:iCs/>
          <w:color w:val="595959"/>
          <w:sz w:val="20"/>
          <w:szCs w:val="20"/>
        </w:rPr>
        <w:t xml:space="preserve">Block 3.</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1"/>
        <w:spacing w:after="160" w:before="360"/>
      </w:pPr>
      <w:r>
        <w:rPr>
          <w:rFonts w:ascii="Calibri" w:cs="Calibri" w:eastAsia="Calibri" w:hAnsi="Calibri"/>
          <w:b/>
          <w:bCs/>
          <w:color w:val="7A0019"/>
          <w:sz w:val="32"/>
          <w:szCs w:val="32"/>
        </w:rPr>
        <w:t xml:space="preserve">5. Knowledge check</w:t>
      </w:r>
    </w:p>
    <w:p>
      <w:pPr>
        <w:spacing w:after="140" w:line="276"/>
      </w:pPr>
      <w:r>
        <w:rPr>
          <w:rFonts w:ascii="Calibri" w:cs="Calibri" w:eastAsia="Calibri" w:hAnsi="Calibri"/>
          <w:sz w:val="22"/>
          <w:szCs w:val="22"/>
        </w:rPr>
        <w:t xml:space="preserve">Six questions, one best answer each. Mark your answer; the facilitator reviews them at the end of the session.</w:t>
      </w:r>
    </w:p>
    <w:p>
      <w:pPr>
        <w:pStyle w:val="Heading3"/>
        <w:spacing w:after="80" w:before="200"/>
      </w:pPr>
      <w:r>
        <w:rPr>
          <w:rFonts w:ascii="Calibri" w:cs="Calibri" w:eastAsia="Calibri" w:hAnsi="Calibri"/>
          <w:b/>
          <w:bCs/>
          <w:color w:val="595959"/>
          <w:sz w:val="23"/>
          <w:szCs w:val="23"/>
        </w:rPr>
        <w:t xml:space="preserve">1. Which redundancy option keeps data readable and writable if one availability zone is lost?</w:t>
      </w:r>
    </w:p>
    <w:p>
      <w:pPr>
        <w:pStyle w:val="ListParagraph"/>
        <w:numPr>
          <w:ilvl w:val="0"/>
          <w:numId w:val="2"/>
        </w:numPr>
        <w:spacing w:after="90" w:line="264"/>
      </w:pPr>
      <w:r>
        <w:rPr>
          <w:rFonts w:ascii="Calibri" w:cs="Calibri" w:eastAsia="Calibri" w:hAnsi="Calibri"/>
          <w:sz w:val="22"/>
          <w:szCs w:val="22"/>
        </w:rPr>
        <w:t xml:space="preserve">A. LRS</w:t>
      </w:r>
    </w:p>
    <w:p>
      <w:pPr>
        <w:pStyle w:val="ListParagraph"/>
        <w:numPr>
          <w:ilvl w:val="0"/>
          <w:numId w:val="2"/>
        </w:numPr>
        <w:spacing w:after="90" w:line="264"/>
      </w:pPr>
      <w:r>
        <w:rPr>
          <w:rFonts w:ascii="Calibri" w:cs="Calibri" w:eastAsia="Calibri" w:hAnsi="Calibri"/>
          <w:sz w:val="22"/>
          <w:szCs w:val="22"/>
        </w:rPr>
        <w:t xml:space="preserve">B. ZRS</w:t>
      </w:r>
    </w:p>
    <w:p>
      <w:pPr>
        <w:pStyle w:val="ListParagraph"/>
        <w:numPr>
          <w:ilvl w:val="0"/>
          <w:numId w:val="2"/>
        </w:numPr>
        <w:spacing w:after="90" w:line="264"/>
      </w:pPr>
      <w:r>
        <w:rPr>
          <w:rFonts w:ascii="Calibri" w:cs="Calibri" w:eastAsia="Calibri" w:hAnsi="Calibri"/>
          <w:sz w:val="22"/>
          <w:szCs w:val="22"/>
        </w:rPr>
        <w:t xml:space="preserve">C. GRS</w:t>
      </w:r>
    </w:p>
    <w:p>
      <w:pPr>
        <w:pStyle w:val="ListParagraph"/>
        <w:numPr>
          <w:ilvl w:val="0"/>
          <w:numId w:val="2"/>
        </w:numPr>
        <w:spacing w:after="90" w:line="264"/>
      </w:pPr>
      <w:r>
        <w:rPr>
          <w:rFonts w:ascii="Calibri" w:cs="Calibri" w:eastAsia="Calibri" w:hAnsi="Calibri"/>
          <w:sz w:val="22"/>
          <w:szCs w:val="22"/>
        </w:rPr>
        <w:t xml:space="preserve">D. RA-GRS</w:t>
      </w:r>
    </w:p>
    <w:p>
      <w:pPr>
        <w:pStyle w:val="Heading3"/>
        <w:spacing w:after="80" w:before="200"/>
      </w:pPr>
      <w:r>
        <w:rPr>
          <w:rFonts w:ascii="Calibri" w:cs="Calibri" w:eastAsia="Calibri" w:hAnsi="Calibri"/>
          <w:b/>
          <w:bCs/>
          <w:color w:val="595959"/>
          <w:sz w:val="23"/>
          <w:szCs w:val="23"/>
        </w:rPr>
        <w:t xml:space="preserve">2. What happens to geo-redundancy after an unplanned customer-managed failover?</w:t>
      </w:r>
    </w:p>
    <w:p>
      <w:pPr>
        <w:pStyle w:val="ListParagraph"/>
        <w:numPr>
          <w:ilvl w:val="0"/>
          <w:numId w:val="2"/>
        </w:numPr>
        <w:spacing w:after="90" w:line="264"/>
      </w:pPr>
      <w:r>
        <w:rPr>
          <w:rFonts w:ascii="Calibri" w:cs="Calibri" w:eastAsia="Calibri" w:hAnsi="Calibri"/>
          <w:sz w:val="22"/>
          <w:szCs w:val="22"/>
        </w:rPr>
        <w:t xml:space="preserve">A. It is retained</w:t>
      </w:r>
    </w:p>
    <w:p>
      <w:pPr>
        <w:pStyle w:val="ListParagraph"/>
        <w:numPr>
          <w:ilvl w:val="0"/>
          <w:numId w:val="2"/>
        </w:numPr>
        <w:spacing w:after="90" w:line="264"/>
      </w:pPr>
      <w:r>
        <w:rPr>
          <w:rFonts w:ascii="Calibri" w:cs="Calibri" w:eastAsia="Calibri" w:hAnsi="Calibri"/>
          <w:sz w:val="22"/>
          <w:szCs w:val="22"/>
        </w:rPr>
        <w:t xml:space="preserve">B. The account becomes locally redundant in the new primary until geo-redundancy is re-enabled</w:t>
      </w:r>
    </w:p>
    <w:p>
      <w:pPr>
        <w:pStyle w:val="ListParagraph"/>
        <w:numPr>
          <w:ilvl w:val="0"/>
          <w:numId w:val="2"/>
        </w:numPr>
        <w:spacing w:after="90" w:line="264"/>
      </w:pPr>
      <w:r>
        <w:rPr>
          <w:rFonts w:ascii="Calibri" w:cs="Calibri" w:eastAsia="Calibri" w:hAnsi="Calibri"/>
          <w:sz w:val="22"/>
          <w:szCs w:val="22"/>
        </w:rPr>
        <w:t xml:space="preserve">C. The account is deleted</w:t>
      </w:r>
    </w:p>
    <w:p>
      <w:pPr>
        <w:pStyle w:val="ListParagraph"/>
        <w:numPr>
          <w:ilvl w:val="0"/>
          <w:numId w:val="2"/>
        </w:numPr>
        <w:spacing w:after="90" w:line="264"/>
      </w:pPr>
      <w:r>
        <w:rPr>
          <w:rFonts w:ascii="Calibri" w:cs="Calibri" w:eastAsia="Calibri" w:hAnsi="Calibri"/>
          <w:sz w:val="22"/>
          <w:szCs w:val="22"/>
        </w:rPr>
        <w:t xml:space="preserve">D. The secondary becomes read-only forever</w:t>
      </w:r>
    </w:p>
    <w:p>
      <w:pPr>
        <w:pStyle w:val="Heading3"/>
        <w:spacing w:after="80" w:before="200"/>
      </w:pPr>
      <w:r>
        <w:rPr>
          <w:rFonts w:ascii="Calibri" w:cs="Calibri" w:eastAsia="Calibri" w:hAnsi="Calibri"/>
          <w:b/>
          <w:bCs/>
          <w:color w:val="595959"/>
          <w:sz w:val="23"/>
          <w:szCs w:val="23"/>
        </w:rPr>
        <w:t xml:space="preserve">3. Which blob type can object replication copy?</w:t>
      </w:r>
    </w:p>
    <w:p>
      <w:pPr>
        <w:pStyle w:val="ListParagraph"/>
        <w:numPr>
          <w:ilvl w:val="0"/>
          <w:numId w:val="2"/>
        </w:numPr>
        <w:spacing w:after="90" w:line="264"/>
      </w:pPr>
      <w:r>
        <w:rPr>
          <w:rFonts w:ascii="Calibri" w:cs="Calibri" w:eastAsia="Calibri" w:hAnsi="Calibri"/>
          <w:sz w:val="22"/>
          <w:szCs w:val="22"/>
        </w:rPr>
        <w:t xml:space="preserve">A. Block blobs</w:t>
      </w:r>
    </w:p>
    <w:p>
      <w:pPr>
        <w:pStyle w:val="ListParagraph"/>
        <w:numPr>
          <w:ilvl w:val="0"/>
          <w:numId w:val="2"/>
        </w:numPr>
        <w:spacing w:after="90" w:line="264"/>
      </w:pPr>
      <w:r>
        <w:rPr>
          <w:rFonts w:ascii="Calibri" w:cs="Calibri" w:eastAsia="Calibri" w:hAnsi="Calibri"/>
          <w:sz w:val="22"/>
          <w:szCs w:val="22"/>
        </w:rPr>
        <w:t xml:space="preserve">B. Append blobs</w:t>
      </w:r>
    </w:p>
    <w:p>
      <w:pPr>
        <w:pStyle w:val="ListParagraph"/>
        <w:numPr>
          <w:ilvl w:val="0"/>
          <w:numId w:val="2"/>
        </w:numPr>
        <w:spacing w:after="90" w:line="264"/>
      </w:pPr>
      <w:r>
        <w:rPr>
          <w:rFonts w:ascii="Calibri" w:cs="Calibri" w:eastAsia="Calibri" w:hAnsi="Calibri"/>
          <w:sz w:val="22"/>
          <w:szCs w:val="22"/>
        </w:rPr>
        <w:t xml:space="preserve">C. Page blobs</w:t>
      </w:r>
    </w:p>
    <w:p>
      <w:pPr>
        <w:pStyle w:val="ListParagraph"/>
        <w:numPr>
          <w:ilvl w:val="0"/>
          <w:numId w:val="2"/>
        </w:numPr>
        <w:spacing w:after="90" w:line="264"/>
      </w:pPr>
      <w:r>
        <w:rPr>
          <w:rFonts w:ascii="Calibri" w:cs="Calibri" w:eastAsia="Calibri" w:hAnsi="Calibri"/>
          <w:sz w:val="22"/>
          <w:szCs w:val="22"/>
        </w:rPr>
        <w:t xml:space="preserve">D. Snapshots</w:t>
      </w:r>
    </w:p>
    <w:p>
      <w:pPr>
        <w:pStyle w:val="Heading3"/>
        <w:spacing w:after="80" w:before="200"/>
      </w:pPr>
      <w:r>
        <w:rPr>
          <w:rFonts w:ascii="Calibri" w:cs="Calibri" w:eastAsia="Calibri" w:hAnsi="Calibri"/>
          <w:b/>
          <w:bCs/>
          <w:color w:val="595959"/>
          <w:sz w:val="23"/>
          <w:szCs w:val="23"/>
        </w:rPr>
        <w:t xml:space="preserve">4. What does a Site Recovery test failover do to production replication?</w:t>
      </w:r>
    </w:p>
    <w:p>
      <w:pPr>
        <w:pStyle w:val="ListParagraph"/>
        <w:numPr>
          <w:ilvl w:val="0"/>
          <w:numId w:val="2"/>
        </w:numPr>
        <w:spacing w:after="90" w:line="264"/>
      </w:pPr>
      <w:r>
        <w:rPr>
          <w:rFonts w:ascii="Calibri" w:cs="Calibri" w:eastAsia="Calibri" w:hAnsi="Calibri"/>
          <w:sz w:val="22"/>
          <w:szCs w:val="22"/>
        </w:rPr>
        <w:t xml:space="preserve">A. Stops it</w:t>
      </w:r>
    </w:p>
    <w:p>
      <w:pPr>
        <w:pStyle w:val="ListParagraph"/>
        <w:numPr>
          <w:ilvl w:val="0"/>
          <w:numId w:val="2"/>
        </w:numPr>
        <w:spacing w:after="90" w:line="264"/>
      </w:pPr>
      <w:r>
        <w:rPr>
          <w:rFonts w:ascii="Calibri" w:cs="Calibri" w:eastAsia="Calibri" w:hAnsi="Calibri"/>
          <w:sz w:val="22"/>
          <w:szCs w:val="22"/>
        </w:rPr>
        <w:t xml:space="preserve">B. Reverses it</w:t>
      </w:r>
    </w:p>
    <w:p>
      <w:pPr>
        <w:pStyle w:val="ListParagraph"/>
        <w:numPr>
          <w:ilvl w:val="0"/>
          <w:numId w:val="2"/>
        </w:numPr>
        <w:spacing w:after="90" w:line="264"/>
      </w:pPr>
      <w:r>
        <w:rPr>
          <w:rFonts w:ascii="Calibri" w:cs="Calibri" w:eastAsia="Calibri" w:hAnsi="Calibri"/>
          <w:sz w:val="22"/>
          <w:szCs w:val="22"/>
        </w:rPr>
        <w:t xml:space="preserve">C. Nothing; test failover runs in an isolated network</w:t>
      </w:r>
    </w:p>
    <w:p>
      <w:pPr>
        <w:pStyle w:val="ListParagraph"/>
        <w:numPr>
          <w:ilvl w:val="0"/>
          <w:numId w:val="2"/>
        </w:numPr>
        <w:spacing w:after="90" w:line="264"/>
      </w:pPr>
      <w:r>
        <w:rPr>
          <w:rFonts w:ascii="Calibri" w:cs="Calibri" w:eastAsia="Calibri" w:hAnsi="Calibri"/>
          <w:sz w:val="22"/>
          <w:szCs w:val="22"/>
        </w:rPr>
        <w:t xml:space="preserve">D. Deletes the recovery points</w:t>
      </w:r>
    </w:p>
    <w:p>
      <w:pPr>
        <w:pStyle w:val="Heading3"/>
        <w:spacing w:after="80" w:before="200"/>
      </w:pPr>
      <w:r>
        <w:rPr>
          <w:rFonts w:ascii="Calibri" w:cs="Calibri" w:eastAsia="Calibri" w:hAnsi="Calibri"/>
          <w:b/>
          <w:bCs/>
          <w:color w:val="595959"/>
          <w:sz w:val="23"/>
          <w:szCs w:val="23"/>
        </w:rPr>
        <w:t xml:space="preserve">5. Which recovery point type gives the lowest RTO?</w:t>
      </w:r>
    </w:p>
    <w:p>
      <w:pPr>
        <w:pStyle w:val="ListParagraph"/>
        <w:numPr>
          <w:ilvl w:val="0"/>
          <w:numId w:val="2"/>
        </w:numPr>
        <w:spacing w:after="90" w:line="264"/>
      </w:pPr>
      <w:r>
        <w:rPr>
          <w:rFonts w:ascii="Calibri" w:cs="Calibri" w:eastAsia="Calibri" w:hAnsi="Calibri"/>
          <w:sz w:val="22"/>
          <w:szCs w:val="22"/>
        </w:rPr>
        <w:t xml:space="preserve">A. Latest</w:t>
      </w:r>
    </w:p>
    <w:p>
      <w:pPr>
        <w:pStyle w:val="ListParagraph"/>
        <w:numPr>
          <w:ilvl w:val="0"/>
          <w:numId w:val="2"/>
        </w:numPr>
        <w:spacing w:after="90" w:line="264"/>
      </w:pPr>
      <w:r>
        <w:rPr>
          <w:rFonts w:ascii="Calibri" w:cs="Calibri" w:eastAsia="Calibri" w:hAnsi="Calibri"/>
          <w:sz w:val="22"/>
          <w:szCs w:val="22"/>
        </w:rPr>
        <w:t xml:space="preserve">B. Latest processed</w:t>
      </w:r>
    </w:p>
    <w:p>
      <w:pPr>
        <w:pStyle w:val="ListParagraph"/>
        <w:numPr>
          <w:ilvl w:val="0"/>
          <w:numId w:val="2"/>
        </w:numPr>
        <w:spacing w:after="90" w:line="264"/>
      </w:pPr>
      <w:r>
        <w:rPr>
          <w:rFonts w:ascii="Calibri" w:cs="Calibri" w:eastAsia="Calibri" w:hAnsi="Calibri"/>
          <w:sz w:val="22"/>
          <w:szCs w:val="22"/>
        </w:rPr>
        <w:t xml:space="preserve">C. Latest app-consistent</w:t>
      </w:r>
    </w:p>
    <w:p>
      <w:pPr>
        <w:pStyle w:val="ListParagraph"/>
        <w:numPr>
          <w:ilvl w:val="0"/>
          <w:numId w:val="2"/>
        </w:numPr>
        <w:spacing w:after="90" w:line="264"/>
      </w:pPr>
      <w:r>
        <w:rPr>
          <w:rFonts w:ascii="Calibri" w:cs="Calibri" w:eastAsia="Calibri" w:hAnsi="Calibri"/>
          <w:sz w:val="22"/>
          <w:szCs w:val="22"/>
        </w:rPr>
        <w:t xml:space="preserve">D. Latest multi-VM processed</w:t>
      </w:r>
    </w:p>
    <w:p>
      <w:pPr>
        <w:pStyle w:val="Heading3"/>
        <w:spacing w:after="80" w:before="200"/>
      </w:pPr>
      <w:r>
        <w:rPr>
          <w:rFonts w:ascii="Calibri" w:cs="Calibri" w:eastAsia="Calibri" w:hAnsi="Calibri"/>
          <w:b/>
          <w:bCs/>
          <w:color w:val="595959"/>
          <w:sz w:val="23"/>
          <w:szCs w:val="23"/>
        </w:rPr>
        <w:t xml:space="preserve">6. How many protected instances can one recovery plan include?</w:t>
      </w:r>
    </w:p>
    <w:p>
      <w:pPr>
        <w:pStyle w:val="ListParagraph"/>
        <w:numPr>
          <w:ilvl w:val="0"/>
          <w:numId w:val="2"/>
        </w:numPr>
        <w:spacing w:after="90" w:line="264"/>
      </w:pPr>
      <w:r>
        <w:rPr>
          <w:rFonts w:ascii="Calibri" w:cs="Calibri" w:eastAsia="Calibri" w:hAnsi="Calibri"/>
          <w:sz w:val="22"/>
          <w:szCs w:val="22"/>
        </w:rPr>
        <w:t xml:space="preserve">A. 10</w:t>
      </w:r>
    </w:p>
    <w:p>
      <w:pPr>
        <w:pStyle w:val="ListParagraph"/>
        <w:numPr>
          <w:ilvl w:val="0"/>
          <w:numId w:val="2"/>
        </w:numPr>
        <w:spacing w:after="90" w:line="264"/>
      </w:pPr>
      <w:r>
        <w:rPr>
          <w:rFonts w:ascii="Calibri" w:cs="Calibri" w:eastAsia="Calibri" w:hAnsi="Calibri"/>
          <w:sz w:val="22"/>
          <w:szCs w:val="22"/>
        </w:rPr>
        <w:t xml:space="preserve">B. 50</w:t>
      </w:r>
    </w:p>
    <w:p>
      <w:pPr>
        <w:pStyle w:val="ListParagraph"/>
        <w:numPr>
          <w:ilvl w:val="0"/>
          <w:numId w:val="2"/>
        </w:numPr>
        <w:spacing w:after="90" w:line="264"/>
      </w:pPr>
      <w:r>
        <w:rPr>
          <w:rFonts w:ascii="Calibri" w:cs="Calibri" w:eastAsia="Calibri" w:hAnsi="Calibri"/>
          <w:sz w:val="22"/>
          <w:szCs w:val="22"/>
        </w:rPr>
        <w:t xml:space="preserve">C. 100</w:t>
      </w:r>
    </w:p>
    <w:p>
      <w:pPr>
        <w:pStyle w:val="ListParagraph"/>
        <w:numPr>
          <w:ilvl w:val="0"/>
          <w:numId w:val="2"/>
        </w:numPr>
        <w:spacing w:after="90" w:line="264"/>
      </w:pPr>
      <w:r>
        <w:rPr>
          <w:rFonts w:ascii="Calibri" w:cs="Calibri" w:eastAsia="Calibri" w:hAnsi="Calibri"/>
          <w:sz w:val="22"/>
          <w:szCs w:val="22"/>
        </w:rPr>
        <w:t xml:space="preserve">D. Unlimited</w:t>
      </w:r>
    </w:p>
    <w:p>
      <w:pPr>
        <w:pStyle w:val="Heading1"/>
        <w:spacing w:after="160" w:before="360"/>
      </w:pPr>
      <w:r>
        <w:rPr>
          <w:rFonts w:ascii="Calibri" w:cs="Calibri" w:eastAsia="Calibri" w:hAnsi="Calibri"/>
          <w:b/>
          <w:bCs/>
          <w:color w:val="7A0019"/>
          <w:sz w:val="32"/>
          <w:szCs w:val="32"/>
        </w:rPr>
        <w:t xml:space="preserve">6. Takeaways and the capstone</w:t>
      </w:r>
    </w:p>
    <w:p>
      <w:pPr>
        <w:pStyle w:val="ListParagraph"/>
        <w:numPr>
          <w:ilvl w:val="0"/>
          <w:numId w:val="2"/>
        </w:numPr>
        <w:spacing w:after="90" w:line="264"/>
      </w:pPr>
      <w:r>
        <w:rPr>
          <w:rFonts w:ascii="Calibri" w:cs="Calibri" w:eastAsia="Calibri" w:hAnsi="Calibri"/>
          <w:sz w:val="22"/>
          <w:szCs w:val="22"/>
        </w:rPr>
        <w:t xml:space="preserve">Redundancy protects against infrastructure failure, not deletion or corruption; availability, durability, and recoverability are different promises.</w:t>
      </w:r>
    </w:p>
    <w:p>
      <w:pPr>
        <w:pStyle w:val="ListParagraph"/>
        <w:numPr>
          <w:ilvl w:val="0"/>
          <w:numId w:val="2"/>
        </w:numPr>
        <w:spacing w:after="90" w:line="264"/>
      </w:pPr>
      <w:r>
        <w:rPr>
          <w:rFonts w:ascii="Calibri" w:cs="Calibri" w:eastAsia="Calibri" w:hAnsi="Calibri"/>
          <w:sz w:val="22"/>
          <w:szCs w:val="22"/>
        </w:rPr>
        <w:t xml:space="preserve">Object replication and copies outside Azure add independence at a known cost; replicate archives while they are online.</w:t>
      </w:r>
    </w:p>
    <w:p>
      <w:pPr>
        <w:pStyle w:val="ListParagraph"/>
        <w:numPr>
          <w:ilvl w:val="0"/>
          <w:numId w:val="2"/>
        </w:numPr>
        <w:spacing w:after="90" w:line="264"/>
      </w:pPr>
      <w:r>
        <w:rPr>
          <w:rFonts w:ascii="Calibri" w:cs="Calibri" w:eastAsia="Calibri" w:hAnsi="Calibri"/>
          <w:sz w:val="22"/>
          <w:szCs w:val="22"/>
        </w:rPr>
        <w:t xml:space="preserve">Site Recovery plans and test failovers turn DR from hope into rehearsal; planned account failover keeps geo-redundancy, unplanned does not.</w:t>
      </w:r>
    </w:p>
    <w:p>
      <w:pPr>
        <w:pStyle w:val="ListParagraph"/>
        <w:numPr>
          <w:ilvl w:val="0"/>
          <w:numId w:val="2"/>
        </w:numPr>
        <w:spacing w:after="90" w:line="264"/>
      </w:pPr>
      <w:r>
        <w:rPr>
          <w:rFonts w:ascii="Calibri" w:cs="Calibri" w:eastAsia="Calibri" w:hAnsi="Calibri"/>
          <w:sz w:val="22"/>
          <w:szCs w:val="22"/>
        </w:rPr>
        <w:t xml:space="preserve">The resilience matrix is a business document: RPO and RTO per class, cost per tier, and the accepted risk with its owner.</w:t>
      </w: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Capstone input from this session</w:t>
            </w:r>
          </w:p>
          <w:p>
            <w:pPr>
              <w:spacing w:after="60" w:line="264"/>
            </w:pPr>
            <w:r>
              <w:rPr>
                <w:rFonts w:ascii="Calibri" w:cs="Calibri" w:eastAsia="Calibri" w:hAnsi="Calibri"/>
                <w:sz w:val="22"/>
                <w:szCs w:val="22"/>
              </w:rPr>
              <w:t xml:space="preserve">University resilience matrix applied to six workload classes.</w:t>
            </w:r>
          </w:p>
          <w:p>
            <w:pPr>
              <w:spacing w:after="60" w:line="264"/>
            </w:pPr>
            <w:r>
              <w:rPr>
                <w:rFonts w:ascii="Calibri" w:cs="Calibri" w:eastAsia="Calibri" w:hAnsi="Calibri"/>
                <w:sz w:val="22"/>
                <w:szCs w:val="22"/>
              </w:rPr>
              <w:t xml:space="preserve">Next: Day 3 opens with Session 5, next-generation protection for Oracle and enterprise databases: the same principles applied to the university's largest databases.</w:t>
            </w:r>
          </w:p>
        </w:tc>
      </w:tr>
    </w:tbl>
    <w:p>
      <w:pPr>
        <w:spacing w:after="120"/>
      </w:pPr>
    </w:p>
    <w:p>
      <w:pPr>
        <w:pStyle w:val="Heading1"/>
        <w:spacing w:after="160" w:before="360"/>
      </w:pPr>
      <w:r>
        <w:rPr>
          <w:rFonts w:ascii="Calibri" w:cs="Calibri" w:eastAsia="Calibri" w:hAnsi="Calibri"/>
          <w:b/>
          <w:bCs/>
          <w:color w:val="7A0019"/>
          <w:sz w:val="32"/>
          <w:szCs w:val="32"/>
        </w:rPr>
        <w:t xml:space="preserve">7. Notes</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spacing w:after="80"/>
            </w:pPr>
            <w:r>
              <w:rPr>
                <w:rFonts w:ascii="Calibri" w:cs="Calibri" w:eastAsia="Calibri" w:hAnsi="Calibri"/>
                <w:i/>
                <w:iCs/>
                <w:color w:val="595959"/>
                <w:sz w:val="20"/>
                <w:szCs w:val="20"/>
              </w:rPr>
              <w:t xml:space="preserve">Your notes</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95959"/>
        <w:sz w:val="18"/>
        <w:szCs w:val="18"/>
      </w:rPr>
      <w:t xml:space="preserve">Gamut Technology Services | October 2026</w:t>
    </w:r>
    <w:r>
      <w:rPr>
        <w:rFonts w:ascii="Calibri" w:cs="Calibri" w:eastAsia="Calibri" w:hAnsi="Calibri"/>
        <w:color w:val="595959"/>
        <w:sz w:val="18"/>
        <w:szCs w:val="18"/>
      </w:rPr>
      <w:t xml:space="preserve">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CC33" w:sz="6" w:space="4"/>
      </w:pBdr>
    </w:pPr>
    <w:r>
      <w:rPr>
        <w:rFonts w:ascii="Calibri" w:cs="Calibri" w:eastAsia="Calibri" w:hAnsi="Calibri"/>
        <w:color w:val="595959"/>
        <w:sz w:val="18"/>
        <w:szCs w:val="18"/>
      </w:rPr>
      <w:t xml:space="preserve">Session 4 Participant Workbook | University of Minnesota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7A0019"/>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7A0019"/>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4 Participant Workbook</dc:title>
  <dc:creator>Gamut Technology Services</dc:creator>
  <cp:lastModifiedBy>Un-named</cp:lastModifiedBy>
  <cp:revision>1</cp:revision>
  <dcterms:created xsi:type="dcterms:W3CDTF">2026-10-15T13:52:05.821Z</dcterms:created>
  <dcterms:modified xsi:type="dcterms:W3CDTF">2026-10-15T13:52:05.821Z</dcterms:modified>
</cp:coreProperties>
</file>

<file path=docProps/custom.xml><?xml version="1.0" encoding="utf-8"?>
<Properties xmlns="http://schemas.openxmlformats.org/officeDocument/2006/custom-properties" xmlns:vt="http://schemas.openxmlformats.org/officeDocument/2006/docPropsVTypes"/>
</file>