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5 Participant Workbook</w:t>
      </w:r>
    </w:p>
    <w:p>
      <w:pPr>
        <w:spacing w:after="120"/>
      </w:pPr>
      <w:r>
        <w:rPr>
          <w:rFonts w:ascii="Calibri" w:cs="Calibri" w:eastAsia="Calibri" w:hAnsi="Calibri"/>
          <w:color w:val="595959"/>
          <w:sz w:val="30"/>
          <w:szCs w:val="30"/>
        </w:rPr>
        <w:t xml:space="preserve">Next-Generation Protection for Oracle and Enterprise Databases</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3, Session 5,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choosing the Oracle path</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Design exercise: the immutability tier for the enterprise Oracle estate</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backup targets and immutability</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separation of duties and geo-protection</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3.4 Worksheet: restore testing and cost</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3.5 Worksheet: the three sentences</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3.6 What you present</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3.7 How your design will be critiqued</w:t>
          </w:r>
          <w:r>
            <w:rPr>
              <w:rFonts w:ascii="Calibri" w:cs="Calibri" w:eastAsia="Calibri" w:hAnsi="Calibri"/>
              <w:sz w:val="22"/>
              <w:szCs w:val="22"/>
            </w:rPr>
            <w:tab/>
            <w:t>9</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9</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12</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3, Session 5: Next-Generation Protection for Oracle and Enterprise Databases.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Oracle on Azure deployment options</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55</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Oracle backup to immutable Blob and the live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Other database platforms and restore validation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75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Design exercise and leadership pitch review</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The university's largest and most business-critical databases run on Oracle and support enterprise resource planning and identity management. The current protection approach is decades old, and the team has been asked to define a modern strategy centered on immutability. This session covers the two main paths for Oracle on Azure (Oracle AI Database@Azure, formerly Oracle Database@Azure, and Oracle on Azure virtual machines), the backup toolbox (RMAN, Azure Backup, Azure Files, Blob through BlobFuse2), making the backup container immutable and aligning RMAN retention with the WORM interval, geo-protection, separation of duties, and coordinated recovery of ERP and identity tiers.</w:t>
      </w:r>
    </w:p>
    <w:p>
      <w:pPr>
        <w:spacing w:after="140" w:line="276"/>
      </w:pPr>
      <w:r>
        <w:rPr>
          <w:rFonts w:ascii="Calibri" w:cs="Calibri" w:eastAsia="Calibri" w:hAnsi="Calibri"/>
          <w:sz w:val="22"/>
          <w:szCs w:val="22"/>
        </w:rPr>
        <w:t xml:space="preserve">Block 3 covers the other platforms (SQL Server in Azure VMs, Azure SQL, PostgreSQL flexible server with vaulted backup, MySQL) and restore validation as proof rather than hope. The design exercise produces the immutability tier for the enterprise Oracle estate and three sentences a vice president could use.</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Your Oracle estate at a glance: versions, sizes, where RMAN writes today, and the recovery window in force.</w:t>
      </w:r>
    </w:p>
    <w:p>
      <w:pPr>
        <w:pStyle w:val="ListParagraph"/>
        <w:numPr>
          <w:ilvl w:val="0"/>
          <w:numId w:val="2"/>
        </w:numPr>
        <w:spacing w:after="90" w:line="264"/>
      </w:pPr>
      <w:r>
        <w:rPr>
          <w:rFonts w:ascii="Calibri" w:cs="Calibri" w:eastAsia="Calibri" w:hAnsi="Calibri"/>
          <w:sz w:val="22"/>
          <w:szCs w:val="22"/>
        </w:rPr>
        <w:t xml:space="preserve">The Session 3 and 4 workbooks: the vault controls and the resilience tier you assigned to the enterprise database.</w:t>
      </w:r>
    </w:p>
    <w:p>
      <w:pPr>
        <w:pStyle w:val="ListParagraph"/>
        <w:numPr>
          <w:ilvl w:val="0"/>
          <w:numId w:val="2"/>
        </w:numPr>
        <w:spacing w:after="90" w:line="264"/>
      </w:pPr>
      <w:r>
        <w:rPr>
          <w:rFonts w:ascii="Calibri" w:cs="Calibri" w:eastAsia="Calibri" w:hAnsi="Calibri"/>
          <w:sz w:val="22"/>
          <w:szCs w:val="22"/>
        </w:rPr>
        <w:t xml:space="preserve">The business case template open if you have a laptop; the exercise fills its first page.</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5 deck; demo script </w:t>
      </w:r>
      <w:r>
        <w:rPr>
          <w:rFonts w:ascii="Consolas" w:cs="Consolas" w:eastAsia="Consolas" w:hAnsi="Consolas"/>
          <w:sz w:val="20"/>
          <w:szCs w:val="20"/>
          <w:shd w:fill="F7F3EE" w:color="auto" w:val="clear"/>
        </w:rPr>
        <w:t xml:space="preserve">S05_Demo_Script_RMAN_Immutable_Restore</w:t>
      </w:r>
    </w:p>
    <w:p>
      <w:pPr>
        <w:pStyle w:val="ListParagraph"/>
        <w:numPr>
          <w:ilvl w:val="0"/>
          <w:numId w:val="2"/>
        </w:numPr>
        <w:spacing w:after="90" w:line="264"/>
      </w:pPr>
      <w:r>
        <w:rPr>
          <w:rFonts w:ascii="Consolas" w:cs="Consolas" w:eastAsia="Consolas" w:hAnsi="Consolas"/>
          <w:sz w:val="20"/>
          <w:szCs w:val="20"/>
          <w:shd w:fill="F7F3EE" w:color="auto" w:val="clear"/>
        </w:rPr>
        <w:t xml:space="preserve">UMN_Enterprise_Application_Dataset.xlsx</w:t>
      </w:r>
      <w:r>
        <w:rPr>
          <w:rFonts w:ascii="Calibri" w:cs="Calibri" w:eastAsia="Calibri" w:hAnsi="Calibri"/>
          <w:sz w:val="22"/>
          <w:szCs w:val="22"/>
        </w:rPr>
        <w:t xml:space="preserve"> (12,302 synthetic journal lines) with the CONTROL_TOTALS sheet</w:t>
      </w:r>
    </w:p>
    <w:p>
      <w:pPr>
        <w:pStyle w:val="ListParagraph"/>
        <w:numPr>
          <w:ilvl w:val="0"/>
          <w:numId w:val="2"/>
        </w:numPr>
        <w:spacing w:after="90" w:line="264"/>
      </w:pPr>
      <w:r>
        <w:rPr>
          <w:rFonts w:ascii="Calibri" w:cs="Calibri" w:eastAsia="Calibri" w:hAnsi="Calibri"/>
          <w:sz w:val="22"/>
          <w:szCs w:val="22"/>
        </w:rPr>
        <w:t xml:space="preserve">Oracle on Azure decision guide reference card and the business case template (Reference Card Pack; Executive Briefing and Business Case Template)</w:t>
      </w:r>
    </w:p>
    <w:p>
      <w:pPr>
        <w:pStyle w:val="ListParagraph"/>
        <w:numPr>
          <w:ilvl w:val="0"/>
          <w:numId w:val="2"/>
        </w:numPr>
        <w:spacing w:after="90" w:line="264"/>
      </w:pPr>
      <w:r>
        <w:rPr>
          <w:rFonts w:ascii="Calibri" w:cs="Calibri" w:eastAsia="Calibri" w:hAnsi="Calibri"/>
          <w:sz w:val="22"/>
          <w:szCs w:val="22"/>
        </w:rPr>
        <w:t xml:space="preserve">This workbook (participants) and the facilitator guide (instructor)</w:t>
      </w:r>
    </w:p>
    <w:p>
      <w:pPr>
        <w:pStyle w:val="Heading1"/>
        <w:spacing w:after="160" w:before="360"/>
      </w:pPr>
      <w:r>
        <w:rPr>
          <w:rFonts w:ascii="Calibri" w:cs="Calibri" w:eastAsia="Calibri" w:hAnsi="Calibri"/>
          <w:b/>
          <w:bCs/>
          <w:color w:val="7A0019"/>
          <w:sz w:val="32"/>
          <w:szCs w:val="32"/>
        </w:rPr>
        <w:t xml:space="preserve">2. Block 1 checkpoint: choosing the Oracle path</w:t>
      </w:r>
    </w:p>
    <w:p>
      <w:pPr>
        <w:spacing w:after="140" w:line="276"/>
      </w:pPr>
      <w:r>
        <w:rPr>
          <w:rFonts w:ascii="Calibri" w:cs="Calibri" w:eastAsia="Calibri" w:hAnsi="Calibri"/>
          <w:sz w:val="22"/>
          <w:szCs w:val="22"/>
        </w:rPr>
        <w:t xml:space="preserve">Three questions about the university's Oracle estate. Answer for the ERP and identity databases as you know them.</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Oracle AI Database@Azure or Oracle on Azure VMs: which path fits the ERP database, and what drives the choice?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Why back up a database whose storage is already triple-replicated?</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Where do licensing and support boundaries belong in the project plan?</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Design exercise: the immutability tier for the enterprise Oracle estate</w:t>
      </w:r>
    </w:p>
    <w:p>
      <w:pPr>
        <w:spacing w:after="140" w:line="276"/>
      </w:pPr>
      <w:r>
        <w:rPr>
          <w:rFonts w:ascii="Calibri" w:cs="Calibri" w:eastAsia="Calibri" w:hAnsi="Calibri"/>
          <w:sz w:val="22"/>
          <w:szCs w:val="22"/>
        </w:rPr>
        <w:t xml:space="preserve">In groups, design the target-state protection architecture for the university's Oracle estate: backup targets, immutability policy and retention, separation of duties, restore testing cadence, and estimated monthly cost. The estate: the ERP database (12 TB, Oracle 19c, two instances, nightly change about 3 percent, recovery window required 35 days, RPO 15 minutes, RTO 4 hours), the identity platform database (2 TB, RPO 15 minutes, RTO 2 hours), and four departmental databases (200 GB to 1.5 TB, RPO 24 hours, RTO 24 hours). Assume Oracle on Azure VMs for the ERP and identity databases in the first phase, with Database@Azure evaluated for the second phase.</w:t>
      </w:r>
    </w:p>
    <w:p>
      <w:pPr>
        <w:spacing w:after="140" w:line="276"/>
      </w:pPr>
      <w:r>
        <w:rPr>
          <w:rFonts w:ascii="Calibri" w:cs="Calibri" w:eastAsia="Calibri" w:hAnsi="Calibri"/>
          <w:sz w:val="22"/>
          <w:szCs w:val="22"/>
        </w:rPr>
        <w:t xml:space="preserve">Each group also drafts three sentences a vice president could use to explain why the business should care, and presents design and pitch for review against Microsoft and Oracle reference guidance.</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Complete Worksheet 1: backup targets and immutability per database class.</w:t>
      </w:r>
    </w:p>
    <w:p>
      <w:pPr>
        <w:pStyle w:val="ListParagraph"/>
        <w:numPr>
          <w:ilvl w:val="0"/>
          <w:numId w:val="3"/>
        </w:numPr>
        <w:spacing w:after="90" w:line="264"/>
      </w:pPr>
      <w:r>
        <w:rPr>
          <w:rFonts w:ascii="Calibri" w:cs="Calibri" w:eastAsia="Calibri" w:hAnsi="Calibri"/>
          <w:sz w:val="22"/>
          <w:szCs w:val="22"/>
        </w:rPr>
        <w:t xml:space="preserve">Complete Worksheet 2: separation of duties (roles, not people) and the geo-protection path.</w:t>
      </w:r>
    </w:p>
    <w:p>
      <w:pPr>
        <w:pStyle w:val="ListParagraph"/>
        <w:numPr>
          <w:ilvl w:val="0"/>
          <w:numId w:val="3"/>
        </w:numPr>
        <w:spacing w:after="90" w:line="264"/>
      </w:pPr>
      <w:r>
        <w:rPr>
          <w:rFonts w:ascii="Calibri" w:cs="Calibri" w:eastAsia="Calibri" w:hAnsi="Calibri"/>
          <w:sz w:val="22"/>
          <w:szCs w:val="22"/>
        </w:rPr>
        <w:t xml:space="preserve">Complete Worksheet 3: restore testing cadence and the estimated monthly cost line, using the cost model workbook's BackupRetention sheet and illustrative prices.</w:t>
      </w:r>
    </w:p>
    <w:p>
      <w:pPr>
        <w:pStyle w:val="ListParagraph"/>
        <w:numPr>
          <w:ilvl w:val="0"/>
          <w:numId w:val="3"/>
        </w:numPr>
        <w:spacing w:after="90" w:line="264"/>
      </w:pPr>
      <w:r>
        <w:rPr>
          <w:rFonts w:ascii="Calibri" w:cs="Calibri" w:eastAsia="Calibri" w:hAnsi="Calibri"/>
          <w:sz w:val="22"/>
          <w:szCs w:val="22"/>
        </w:rPr>
        <w:t xml:space="preserve">Draft the three vice president sentences in Worksheet 4.</w:t>
      </w:r>
    </w:p>
    <w:p>
      <w:pPr>
        <w:pStyle w:val="ListParagraph"/>
        <w:numPr>
          <w:ilvl w:val="0"/>
          <w:numId w:val="3"/>
        </w:numPr>
        <w:spacing w:after="90" w:line="264"/>
      </w:pPr>
      <w:r>
        <w:rPr>
          <w:rFonts w:ascii="Calibri" w:cs="Calibri" w:eastAsia="Calibri" w:hAnsi="Calibri"/>
          <w:sz w:val="22"/>
          <w:szCs w:val="22"/>
        </w:rPr>
        <w:t xml:space="preserve">Present design and pitch (five minutes); the facilitator reviews against the Oracle on Azure decision guide and Microsoft Learn's Oracle backup guidance.</w:t>
      </w:r>
    </w:p>
    <w:p>
      <w:pPr>
        <w:pStyle w:val="Heading2"/>
        <w:spacing w:after="120" w:before="280"/>
      </w:pPr>
      <w:r>
        <w:rPr>
          <w:rFonts w:ascii="Calibri" w:cs="Calibri" w:eastAsia="Calibri" w:hAnsi="Calibri"/>
          <w:b/>
          <w:bCs/>
          <w:color w:val="7A0019"/>
          <w:sz w:val="27"/>
          <w:szCs w:val="27"/>
        </w:rPr>
        <w:t xml:space="preserve">3.2 Worksheet: backup targets and immutability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ERP database (12 TB)</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Identity database (2 TB)</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Departmental databases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engine and target (RMAN to Blob via BlobFuse2, Azure Files, Azure Backup)</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Account type, namespace, redundancy for the target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Immutability: container-level or version-level, interval, locked or unlocked</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retention policy aligned to the WORM interval</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Where the pieces go after the window (lifecycle, Archive)</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separation of duties and geo-protection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5616"/>
      </w:tblGrid>
      <w:tr>
        <w:trPr>
          <w:tblHeader/>
        </w:trPr>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561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Your answer</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Who runs RMAN; how the mount authenticates (managed identity)</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Who owns the immutable target (container and policy)</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Who holds the lock decision and the Resource Guard for vault-based backups</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Geo-protection: GZRS, object replication to an immutable destination, Data Guard, or a combination</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Separate subscription for the backup account: yes or no, and why</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What is audited and who receives alerts</w:t>
            </w:r>
          </w:p>
          <w:p>
            <w:pPr>
              <w:spacing w:after="0" w:line="400"/>
            </w:pPr>
            <w:r>
              <w:rPr>
                <w:sz w:val="20"/>
                <w:szCs w:val="20"/>
              </w:rPr>
              <w:t xml:space="preserve"> </w:t>
            </w:r>
          </w:p>
          <w:p>
            <w:pPr>
              <w:spacing w:after="0" w:line="400"/>
            </w:pPr>
            <w:r>
              <w:rPr>
                <w:sz w:val="20"/>
                <w:szCs w:val="20"/>
              </w:rPr>
              <w:t xml:space="preserve"> </w:t>
            </w:r>
          </w:p>
        </w:tc>
        <w:tc>
          <w:tcPr>
            <w:tcW w:type="dxa" w:w="5616"/>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restore testing and cost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ERP</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Identity</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Departmental</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Automated restore test: cadence and target environment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Full recovery rehearsal cadence and what it updates (runbook, measured RTO)</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Evidence kept (queries, control totals, job logs)</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Estimated monthly cost: capacity in the WORM container, geo copy, vault fees</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Worksheet: the three sentences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7301"/>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Sentence</w:t>
            </w:r>
          </w:p>
        </w:tc>
        <w:tc>
          <w:tcPr>
            <w:tcW w:type="dxa" w:w="7301"/>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Draft</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 What changes (in risk language)</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30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2. What it costs and what it avoids</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30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3. What we will be able to prove, and when</w:t>
            </w: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c>
          <w:tcPr>
            <w:tcW w:type="dxa" w:w="7301"/>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3.6 What you present</w:t>
      </w:r>
    </w:p>
    <w:p>
      <w:pPr>
        <w:pStyle w:val="ListParagraph"/>
        <w:numPr>
          <w:ilvl w:val="0"/>
          <w:numId w:val="2"/>
        </w:numPr>
        <w:spacing w:after="90" w:line="264"/>
      </w:pPr>
      <w:r>
        <w:rPr>
          <w:rFonts w:ascii="Calibri" w:cs="Calibri" w:eastAsia="Calibri" w:hAnsi="Calibri"/>
          <w:sz w:val="22"/>
          <w:szCs w:val="22"/>
        </w:rPr>
        <w:t xml:space="preserve">The target-state architecture for the three database classes.</w:t>
      </w:r>
    </w:p>
    <w:p>
      <w:pPr>
        <w:pStyle w:val="ListParagraph"/>
        <w:numPr>
          <w:ilvl w:val="0"/>
          <w:numId w:val="2"/>
        </w:numPr>
        <w:spacing w:after="90" w:line="264"/>
      </w:pPr>
      <w:r>
        <w:rPr>
          <w:rFonts w:ascii="Calibri" w:cs="Calibri" w:eastAsia="Calibri" w:hAnsi="Calibri"/>
          <w:sz w:val="22"/>
          <w:szCs w:val="22"/>
        </w:rPr>
        <w:t xml:space="preserve">The separation-of-duties table and the geo-protection path.</w:t>
      </w:r>
    </w:p>
    <w:p>
      <w:pPr>
        <w:pStyle w:val="ListParagraph"/>
        <w:numPr>
          <w:ilvl w:val="0"/>
          <w:numId w:val="2"/>
        </w:numPr>
        <w:spacing w:after="90" w:line="264"/>
      </w:pPr>
      <w:r>
        <w:rPr>
          <w:rFonts w:ascii="Calibri" w:cs="Calibri" w:eastAsia="Calibri" w:hAnsi="Calibri"/>
          <w:sz w:val="22"/>
          <w:szCs w:val="22"/>
        </w:rPr>
        <w:t xml:space="preserve">The restore cadence, the cost line, and the three sentences.</w:t>
      </w:r>
    </w:p>
    <w:p>
      <w:pPr>
        <w:pStyle w:val="Heading2"/>
        <w:spacing w:after="120" w:before="280"/>
      </w:pPr>
      <w:r>
        <w:rPr>
          <w:rFonts w:ascii="Calibri" w:cs="Calibri" w:eastAsia="Calibri" w:hAnsi="Calibri"/>
          <w:b/>
          <w:bCs/>
          <w:color w:val="7A0019"/>
          <w:sz w:val="27"/>
          <w:szCs w:val="27"/>
        </w:rPr>
        <w:t xml:space="preserve">3.7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Immutability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lands in a WORM container; retention aligned to the interval</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Lock decision owned by Security; version-level policy where object-lock semantics are needed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Separation of duties</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DBA, storage, and Security roles distinct; managed identity for the mount</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account in a separate subscription; Resource Guard for vault-based backups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Geo-protection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 second region copy of the backups stated</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Replicate while online; immutable destination; Data Guard for the RPO target</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validation</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Cadence stated per class with an isolated target</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Control totals and hashes as evidence; measured RTO against the target</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Business case</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Three sentences in risk language with a cost</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Two or three options with trade-offs</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RMAN thinks it writes to a directory. What are the consequences of that abstraction for immutability, and what breaks if the mount's identity loses its role?</w:t>
      </w:r>
    </w:p>
    <w:p>
      <w:pPr>
        <w:spacing w:after="140" w:line="276"/>
      </w:pPr>
      <w:r>
        <w:rPr>
          <w:rFonts w:ascii="Calibri" w:cs="Calibri" w:eastAsia="Calibri" w:hAnsi="Calibri"/>
          <w:i/>
          <w:iCs/>
          <w:color w:val="595959"/>
          <w:sz w:val="20"/>
          <w:szCs w:val="20"/>
        </w:rPr>
        <w:t xml:space="preserve">Block 2.</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Azure SQL and PostgreSQL flexible server have platform-native backups with long-term retention. What does the Oracle estate lose by not being on a managed service, and what does it keep?</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What evidence would you put in front of an auditor to prove restore capability, and how often is it generated?</w:t>
      </w:r>
    </w:p>
    <w:p>
      <w:pPr>
        <w:spacing w:after="140" w:line="276"/>
      </w:pPr>
      <w:r>
        <w:rPr>
          <w:rFonts w:ascii="Calibri" w:cs="Calibri" w:eastAsia="Calibri" w:hAnsi="Calibri"/>
          <w:i/>
          <w:iCs/>
          <w:color w:val="595959"/>
          <w:sz w:val="20"/>
          <w:szCs w:val="20"/>
        </w:rPr>
        <w:t xml:space="preserve">Block 3.</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What is the current product name for Oracle's database services colocated in Azure datacenters?</w:t>
      </w:r>
    </w:p>
    <w:p>
      <w:pPr>
        <w:pStyle w:val="ListParagraph"/>
        <w:numPr>
          <w:ilvl w:val="0"/>
          <w:numId w:val="2"/>
        </w:numPr>
        <w:spacing w:after="90" w:line="264"/>
      </w:pPr>
      <w:r>
        <w:rPr>
          <w:rFonts w:ascii="Calibri" w:cs="Calibri" w:eastAsia="Calibri" w:hAnsi="Calibri"/>
          <w:sz w:val="22"/>
          <w:szCs w:val="22"/>
        </w:rPr>
        <w:t xml:space="preserve">A. Oracle Cloud at Azure</w:t>
      </w:r>
    </w:p>
    <w:p>
      <w:pPr>
        <w:pStyle w:val="ListParagraph"/>
        <w:numPr>
          <w:ilvl w:val="0"/>
          <w:numId w:val="2"/>
        </w:numPr>
        <w:spacing w:after="90" w:line="264"/>
      </w:pPr>
      <w:r>
        <w:rPr>
          <w:rFonts w:ascii="Calibri" w:cs="Calibri" w:eastAsia="Calibri" w:hAnsi="Calibri"/>
          <w:sz w:val="22"/>
          <w:szCs w:val="22"/>
        </w:rPr>
        <w:t xml:space="preserve">B. Oracle AI Database@Azure</w:t>
      </w:r>
    </w:p>
    <w:p>
      <w:pPr>
        <w:pStyle w:val="ListParagraph"/>
        <w:numPr>
          <w:ilvl w:val="0"/>
          <w:numId w:val="2"/>
        </w:numPr>
        <w:spacing w:after="90" w:line="264"/>
      </w:pPr>
      <w:r>
        <w:rPr>
          <w:rFonts w:ascii="Calibri" w:cs="Calibri" w:eastAsia="Calibri" w:hAnsi="Calibri"/>
          <w:sz w:val="22"/>
          <w:szCs w:val="22"/>
        </w:rPr>
        <w:t xml:space="preserve">C. Azure Database for Oracle</w:t>
      </w:r>
    </w:p>
    <w:p>
      <w:pPr>
        <w:pStyle w:val="ListParagraph"/>
        <w:numPr>
          <w:ilvl w:val="0"/>
          <w:numId w:val="2"/>
        </w:numPr>
        <w:spacing w:after="90" w:line="264"/>
      </w:pPr>
      <w:r>
        <w:rPr>
          <w:rFonts w:ascii="Calibri" w:cs="Calibri" w:eastAsia="Calibri" w:hAnsi="Calibri"/>
          <w:sz w:val="22"/>
          <w:szCs w:val="22"/>
        </w:rPr>
        <w:t xml:space="preserve">D. Exadata on Azure</w:t>
      </w:r>
    </w:p>
    <w:p>
      <w:pPr>
        <w:pStyle w:val="Heading3"/>
        <w:spacing w:after="80" w:before="200"/>
      </w:pPr>
      <w:r>
        <w:rPr>
          <w:rFonts w:ascii="Calibri" w:cs="Calibri" w:eastAsia="Calibri" w:hAnsi="Calibri"/>
          <w:b/>
          <w:bCs/>
          <w:color w:val="595959"/>
          <w:sz w:val="23"/>
          <w:szCs w:val="23"/>
        </w:rPr>
        <w:t xml:space="preserve">2. Why is NFS 3.0 on Blob not the immutable RMAN target?</w:t>
      </w:r>
    </w:p>
    <w:p>
      <w:pPr>
        <w:pStyle w:val="ListParagraph"/>
        <w:numPr>
          <w:ilvl w:val="0"/>
          <w:numId w:val="2"/>
        </w:numPr>
        <w:spacing w:after="90" w:line="264"/>
      </w:pPr>
      <w:r>
        <w:rPr>
          <w:rFonts w:ascii="Calibri" w:cs="Calibri" w:eastAsia="Calibri" w:hAnsi="Calibri"/>
          <w:sz w:val="22"/>
          <w:szCs w:val="22"/>
        </w:rPr>
        <w:t xml:space="preserve">A. It is too slow</w:t>
      </w:r>
    </w:p>
    <w:p>
      <w:pPr>
        <w:pStyle w:val="ListParagraph"/>
        <w:numPr>
          <w:ilvl w:val="0"/>
          <w:numId w:val="2"/>
        </w:numPr>
        <w:spacing w:after="90" w:line="264"/>
      </w:pPr>
      <w:r>
        <w:rPr>
          <w:rFonts w:ascii="Calibri" w:cs="Calibri" w:eastAsia="Calibri" w:hAnsi="Calibri"/>
          <w:sz w:val="22"/>
          <w:szCs w:val="22"/>
        </w:rPr>
        <w:t xml:space="preserve">B. Immutability policies are not supported on NFS 3.0-enabled accounts, which also require hierarchical namespace</w:t>
      </w:r>
    </w:p>
    <w:p>
      <w:pPr>
        <w:pStyle w:val="ListParagraph"/>
        <w:numPr>
          <w:ilvl w:val="0"/>
          <w:numId w:val="2"/>
        </w:numPr>
        <w:spacing w:after="90" w:line="264"/>
      </w:pPr>
      <w:r>
        <w:rPr>
          <w:rFonts w:ascii="Calibri" w:cs="Calibri" w:eastAsia="Calibri" w:hAnsi="Calibri"/>
          <w:sz w:val="22"/>
          <w:szCs w:val="22"/>
        </w:rPr>
        <w:t xml:space="preserve">C. RMAN cannot write to NFS</w:t>
      </w:r>
    </w:p>
    <w:p>
      <w:pPr>
        <w:pStyle w:val="ListParagraph"/>
        <w:numPr>
          <w:ilvl w:val="0"/>
          <w:numId w:val="2"/>
        </w:numPr>
        <w:spacing w:after="90" w:line="264"/>
      </w:pPr>
      <w:r>
        <w:rPr>
          <w:rFonts w:ascii="Calibri" w:cs="Calibri" w:eastAsia="Calibri" w:hAnsi="Calibri"/>
          <w:sz w:val="22"/>
          <w:szCs w:val="22"/>
        </w:rPr>
        <w:t xml:space="preserve">D. It requires premium storage</w:t>
      </w:r>
    </w:p>
    <w:p>
      <w:pPr>
        <w:pStyle w:val="Heading3"/>
        <w:spacing w:after="80" w:before="200"/>
      </w:pPr>
      <w:r>
        <w:rPr>
          <w:rFonts w:ascii="Calibri" w:cs="Calibri" w:eastAsia="Calibri" w:hAnsi="Calibri"/>
          <w:b/>
          <w:bCs/>
          <w:color w:val="595959"/>
          <w:sz w:val="23"/>
          <w:szCs w:val="23"/>
        </w:rPr>
        <w:t xml:space="preserve">3. The RMAN recovery window is 30 days. What is the minimum WORM interval on the backup container?</w:t>
      </w:r>
    </w:p>
    <w:p>
      <w:pPr>
        <w:pStyle w:val="ListParagraph"/>
        <w:numPr>
          <w:ilvl w:val="0"/>
          <w:numId w:val="2"/>
        </w:numPr>
        <w:spacing w:after="90" w:line="264"/>
      </w:pPr>
      <w:r>
        <w:rPr>
          <w:rFonts w:ascii="Calibri" w:cs="Calibri" w:eastAsia="Calibri" w:hAnsi="Calibri"/>
          <w:sz w:val="22"/>
          <w:szCs w:val="22"/>
        </w:rPr>
        <w:t xml:space="preserve">A. 7 days</w:t>
      </w:r>
    </w:p>
    <w:p>
      <w:pPr>
        <w:pStyle w:val="ListParagraph"/>
        <w:numPr>
          <w:ilvl w:val="0"/>
          <w:numId w:val="2"/>
        </w:numPr>
        <w:spacing w:after="90" w:line="264"/>
      </w:pPr>
      <w:r>
        <w:rPr>
          <w:rFonts w:ascii="Calibri" w:cs="Calibri" w:eastAsia="Calibri" w:hAnsi="Calibri"/>
          <w:sz w:val="22"/>
          <w:szCs w:val="22"/>
        </w:rPr>
        <w:t xml:space="preserve">B. 14 days</w:t>
      </w:r>
    </w:p>
    <w:p>
      <w:pPr>
        <w:pStyle w:val="ListParagraph"/>
        <w:numPr>
          <w:ilvl w:val="0"/>
          <w:numId w:val="2"/>
        </w:numPr>
        <w:spacing w:after="90" w:line="264"/>
      </w:pPr>
      <w:r>
        <w:rPr>
          <w:rFonts w:ascii="Calibri" w:cs="Calibri" w:eastAsia="Calibri" w:hAnsi="Calibri"/>
          <w:sz w:val="22"/>
          <w:szCs w:val="22"/>
        </w:rPr>
        <w:t xml:space="preserve">C. 30 days</w:t>
      </w:r>
    </w:p>
    <w:p>
      <w:pPr>
        <w:pStyle w:val="ListParagraph"/>
        <w:numPr>
          <w:ilvl w:val="0"/>
          <w:numId w:val="2"/>
        </w:numPr>
        <w:spacing w:after="90" w:line="264"/>
      </w:pPr>
      <w:r>
        <w:rPr>
          <w:rFonts w:ascii="Calibri" w:cs="Calibri" w:eastAsia="Calibri" w:hAnsi="Calibri"/>
          <w:sz w:val="22"/>
          <w:szCs w:val="22"/>
        </w:rPr>
        <w:t xml:space="preserve">D. There is no relationship</w:t>
      </w:r>
    </w:p>
    <w:p>
      <w:pPr>
        <w:pStyle w:val="Heading3"/>
        <w:spacing w:after="80" w:before="200"/>
      </w:pPr>
      <w:r>
        <w:rPr>
          <w:rFonts w:ascii="Calibri" w:cs="Calibri" w:eastAsia="Calibri" w:hAnsi="Calibri"/>
          <w:b/>
          <w:bCs/>
          <w:color w:val="595959"/>
          <w:sz w:val="23"/>
          <w:szCs w:val="23"/>
        </w:rPr>
        <w:t xml:space="preserve">4. Which Azure service provides long-term retention up to ten years in a Backup vault with immutability for an open-source database?</w:t>
      </w:r>
    </w:p>
    <w:p>
      <w:pPr>
        <w:pStyle w:val="ListParagraph"/>
        <w:numPr>
          <w:ilvl w:val="0"/>
          <w:numId w:val="2"/>
        </w:numPr>
        <w:spacing w:after="90" w:line="264"/>
      </w:pPr>
      <w:r>
        <w:rPr>
          <w:rFonts w:ascii="Calibri" w:cs="Calibri" w:eastAsia="Calibri" w:hAnsi="Calibri"/>
          <w:sz w:val="22"/>
          <w:szCs w:val="22"/>
        </w:rPr>
        <w:t xml:space="preserve">A. Azure Database for MySQL</w:t>
      </w:r>
    </w:p>
    <w:p>
      <w:pPr>
        <w:pStyle w:val="ListParagraph"/>
        <w:numPr>
          <w:ilvl w:val="0"/>
          <w:numId w:val="2"/>
        </w:numPr>
        <w:spacing w:after="90" w:line="264"/>
      </w:pPr>
      <w:r>
        <w:rPr>
          <w:rFonts w:ascii="Calibri" w:cs="Calibri" w:eastAsia="Calibri" w:hAnsi="Calibri"/>
          <w:sz w:val="22"/>
          <w:szCs w:val="22"/>
        </w:rPr>
        <w:t xml:space="preserve">B. Azure Database for PostgreSQL flexible server</w:t>
      </w:r>
    </w:p>
    <w:p>
      <w:pPr>
        <w:pStyle w:val="ListParagraph"/>
        <w:numPr>
          <w:ilvl w:val="0"/>
          <w:numId w:val="2"/>
        </w:numPr>
        <w:spacing w:after="90" w:line="264"/>
      </w:pPr>
      <w:r>
        <w:rPr>
          <w:rFonts w:ascii="Calibri" w:cs="Calibri" w:eastAsia="Calibri" w:hAnsi="Calibri"/>
          <w:sz w:val="22"/>
          <w:szCs w:val="22"/>
        </w:rPr>
        <w:t xml:space="preserve">C. Azure Cache for Redis</w:t>
      </w:r>
    </w:p>
    <w:p>
      <w:pPr>
        <w:pStyle w:val="ListParagraph"/>
        <w:numPr>
          <w:ilvl w:val="0"/>
          <w:numId w:val="2"/>
        </w:numPr>
        <w:spacing w:after="90" w:line="264"/>
      </w:pPr>
      <w:r>
        <w:rPr>
          <w:rFonts w:ascii="Calibri" w:cs="Calibri" w:eastAsia="Calibri" w:hAnsi="Calibri"/>
          <w:sz w:val="22"/>
          <w:szCs w:val="22"/>
        </w:rPr>
        <w:t xml:space="preserve">D. Azure Cosmos DB for MongoDB</w:t>
      </w:r>
    </w:p>
    <w:p>
      <w:pPr>
        <w:pStyle w:val="Heading3"/>
        <w:spacing w:after="80" w:before="200"/>
      </w:pPr>
      <w:r>
        <w:rPr>
          <w:rFonts w:ascii="Calibri" w:cs="Calibri" w:eastAsia="Calibri" w:hAnsi="Calibri"/>
          <w:b/>
          <w:bCs/>
          <w:color w:val="595959"/>
          <w:sz w:val="23"/>
          <w:szCs w:val="23"/>
        </w:rPr>
        <w:t xml:space="preserve">5. What is the short-term retention range for Azure SQL automatic backups?</w:t>
      </w:r>
    </w:p>
    <w:p>
      <w:pPr>
        <w:pStyle w:val="ListParagraph"/>
        <w:numPr>
          <w:ilvl w:val="0"/>
          <w:numId w:val="2"/>
        </w:numPr>
        <w:spacing w:after="90" w:line="264"/>
      </w:pPr>
      <w:r>
        <w:rPr>
          <w:rFonts w:ascii="Calibri" w:cs="Calibri" w:eastAsia="Calibri" w:hAnsi="Calibri"/>
          <w:sz w:val="22"/>
          <w:szCs w:val="22"/>
        </w:rPr>
        <w:t xml:space="preserve">A. 1 to 7 days</w:t>
      </w:r>
    </w:p>
    <w:p>
      <w:pPr>
        <w:pStyle w:val="ListParagraph"/>
        <w:numPr>
          <w:ilvl w:val="0"/>
          <w:numId w:val="2"/>
        </w:numPr>
        <w:spacing w:after="90" w:line="264"/>
      </w:pPr>
      <w:r>
        <w:rPr>
          <w:rFonts w:ascii="Calibri" w:cs="Calibri" w:eastAsia="Calibri" w:hAnsi="Calibri"/>
          <w:sz w:val="22"/>
          <w:szCs w:val="22"/>
        </w:rPr>
        <w:t xml:space="preserve">B. 1 to 35 days</w:t>
      </w:r>
    </w:p>
    <w:p>
      <w:pPr>
        <w:pStyle w:val="ListParagraph"/>
        <w:numPr>
          <w:ilvl w:val="0"/>
          <w:numId w:val="2"/>
        </w:numPr>
        <w:spacing w:after="90" w:line="264"/>
      </w:pPr>
      <w:r>
        <w:rPr>
          <w:rFonts w:ascii="Calibri" w:cs="Calibri" w:eastAsia="Calibri" w:hAnsi="Calibri"/>
          <w:sz w:val="22"/>
          <w:szCs w:val="22"/>
        </w:rPr>
        <w:t xml:space="preserve">C. 7 to 90 days</w:t>
      </w:r>
    </w:p>
    <w:p>
      <w:pPr>
        <w:pStyle w:val="ListParagraph"/>
        <w:numPr>
          <w:ilvl w:val="0"/>
          <w:numId w:val="2"/>
        </w:numPr>
        <w:spacing w:after="90" w:line="264"/>
      </w:pPr>
      <w:r>
        <w:rPr>
          <w:rFonts w:ascii="Calibri" w:cs="Calibri" w:eastAsia="Calibri" w:hAnsi="Calibri"/>
          <w:sz w:val="22"/>
          <w:szCs w:val="22"/>
        </w:rPr>
        <w:t xml:space="preserve">D. 30 to 365 days</w:t>
      </w:r>
    </w:p>
    <w:p>
      <w:pPr>
        <w:pStyle w:val="Heading3"/>
        <w:spacing w:after="80" w:before="200"/>
      </w:pPr>
      <w:r>
        <w:rPr>
          <w:rFonts w:ascii="Calibri" w:cs="Calibri" w:eastAsia="Calibri" w:hAnsi="Calibri"/>
          <w:b/>
          <w:bCs/>
          <w:color w:val="595959"/>
          <w:sz w:val="23"/>
          <w:szCs w:val="23"/>
        </w:rPr>
        <w:t xml:space="preserve">6. Who should hold the lock decision for the RMAN container's WORM policy?</w:t>
      </w:r>
    </w:p>
    <w:p>
      <w:pPr>
        <w:pStyle w:val="ListParagraph"/>
        <w:numPr>
          <w:ilvl w:val="0"/>
          <w:numId w:val="2"/>
        </w:numPr>
        <w:spacing w:after="90" w:line="264"/>
      </w:pPr>
      <w:r>
        <w:rPr>
          <w:rFonts w:ascii="Calibri" w:cs="Calibri" w:eastAsia="Calibri" w:hAnsi="Calibri"/>
          <w:sz w:val="22"/>
          <w:szCs w:val="22"/>
        </w:rPr>
        <w:t xml:space="preserve">A. The DBA who runs RMAN</w:t>
      </w:r>
    </w:p>
    <w:p>
      <w:pPr>
        <w:pStyle w:val="ListParagraph"/>
        <w:numPr>
          <w:ilvl w:val="0"/>
          <w:numId w:val="2"/>
        </w:numPr>
        <w:spacing w:after="90" w:line="264"/>
      </w:pPr>
      <w:r>
        <w:rPr>
          <w:rFonts w:ascii="Calibri" w:cs="Calibri" w:eastAsia="Calibri" w:hAnsi="Calibri"/>
          <w:sz w:val="22"/>
          <w:szCs w:val="22"/>
        </w:rPr>
        <w:t xml:space="preserve">B. The storage administrator who owns the account</w:t>
      </w:r>
    </w:p>
    <w:p>
      <w:pPr>
        <w:pStyle w:val="ListParagraph"/>
        <w:numPr>
          <w:ilvl w:val="0"/>
          <w:numId w:val="2"/>
        </w:numPr>
        <w:spacing w:after="90" w:line="264"/>
      </w:pPr>
      <w:r>
        <w:rPr>
          <w:rFonts w:ascii="Calibri" w:cs="Calibri" w:eastAsia="Calibri" w:hAnsi="Calibri"/>
          <w:sz w:val="22"/>
          <w:szCs w:val="22"/>
        </w:rPr>
        <w:t xml:space="preserve">C. Security, as a change-controlled decision</w:t>
      </w:r>
    </w:p>
    <w:p>
      <w:pPr>
        <w:pStyle w:val="ListParagraph"/>
        <w:numPr>
          <w:ilvl w:val="0"/>
          <w:numId w:val="2"/>
        </w:numPr>
        <w:spacing w:after="90" w:line="264"/>
      </w:pPr>
      <w:r>
        <w:rPr>
          <w:rFonts w:ascii="Calibri" w:cs="Calibri" w:eastAsia="Calibri" w:hAnsi="Calibri"/>
          <w:sz w:val="22"/>
          <w:szCs w:val="22"/>
        </w:rPr>
        <w:t xml:space="preserve">D. Whoever is on call</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Choose the Oracle path by operating model, performance, and licensing; bring licensing into the business case early.</w:t>
      </w:r>
    </w:p>
    <w:p>
      <w:pPr>
        <w:pStyle w:val="ListParagraph"/>
        <w:numPr>
          <w:ilvl w:val="0"/>
          <w:numId w:val="2"/>
        </w:numPr>
        <w:spacing w:after="90" w:line="264"/>
      </w:pPr>
      <w:r>
        <w:rPr>
          <w:rFonts w:ascii="Calibri" w:cs="Calibri" w:eastAsia="Calibri" w:hAnsi="Calibri"/>
          <w:sz w:val="22"/>
          <w:szCs w:val="22"/>
        </w:rPr>
        <w:t xml:space="preserve">RMAN to immutable Blob through BlobFuse2 on a flat account, with the recovery window aligned to the WORM interval and separation of duties across DBA, storage, and Security, is the immutability tier.</w:t>
      </w:r>
    </w:p>
    <w:p>
      <w:pPr>
        <w:pStyle w:val="ListParagraph"/>
        <w:numPr>
          <w:ilvl w:val="0"/>
          <w:numId w:val="2"/>
        </w:numPr>
        <w:spacing w:after="90" w:line="264"/>
      </w:pPr>
      <w:r>
        <w:rPr>
          <w:rFonts w:ascii="Calibri" w:cs="Calibri" w:eastAsia="Calibri" w:hAnsi="Calibri"/>
          <w:sz w:val="22"/>
          <w:szCs w:val="22"/>
        </w:rPr>
        <w:t xml:space="preserve">Replicate backup pieces while online, to an immutable destination in a separate subscription; use Data Guard for the RPO, not Site Recovery, for the database itself.</w:t>
      </w:r>
    </w:p>
    <w:p>
      <w:pPr>
        <w:pStyle w:val="ListParagraph"/>
        <w:numPr>
          <w:ilvl w:val="0"/>
          <w:numId w:val="2"/>
        </w:numPr>
        <w:spacing w:after="90" w:line="264"/>
      </w:pPr>
      <w:r>
        <w:rPr>
          <w:rFonts w:ascii="Calibri" w:cs="Calibri" w:eastAsia="Calibri" w:hAnsi="Calibri"/>
          <w:sz w:val="22"/>
          <w:szCs w:val="22"/>
        </w:rPr>
        <w:t xml:space="preserve">Restore validation turns protection into evidence: automate weekly, rehearse quarterly, measure RTO, keep the control totals.</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Immutability tier for the Oracle estate.</w:t>
            </w:r>
          </w:p>
          <w:p>
            <w:pPr>
              <w:spacing w:after="60" w:line="264"/>
            </w:pPr>
            <w:r>
              <w:rPr>
                <w:rFonts w:ascii="Calibri" w:cs="Calibri" w:eastAsia="Calibri" w:hAnsi="Calibri"/>
                <w:sz w:val="22"/>
                <w:szCs w:val="22"/>
              </w:rPr>
              <w:t xml:space="preserve">Next: Session 6, FinOps for research data, data management as code, and the roadmap capstone: every session's cost line added up, the platform as code, and the two-year roadmap.</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5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5 Participant Workbook</dc:title>
  <dc:creator>Gamut Technology Services</dc:creator>
  <cp:lastModifiedBy>Un-named</cp:lastModifiedBy>
  <cp:revision>1</cp:revision>
  <dcterms:created xsi:type="dcterms:W3CDTF">2026-10-15T13:49:47.055Z</dcterms:created>
  <dcterms:modified xsi:type="dcterms:W3CDTF">2026-10-15T13:49:47.055Z</dcterms:modified>
</cp:coreProperties>
</file>

<file path=docProps/custom.xml><?xml version="1.0" encoding="utf-8"?>
<Properties xmlns="http://schemas.openxmlformats.org/officeDocument/2006/custom-properties" xmlns:vt="http://schemas.openxmlformats.org/officeDocument/2006/docPropsVTypes"/>
</file>