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color w:val="595959"/>
          <w:sz w:val="22"/>
          <w:szCs w:val="22"/>
        </w:rPr>
        <w:t xml:space="preserve">University of Minnesota custom Azure course</w:t>
      </w:r>
    </w:p>
    <w:p>
      <w:pPr>
        <w:spacing w:after="120"/>
      </w:pPr>
      <w:r>
        <w:rPr>
          <w:rFonts w:ascii="Calibri" w:cs="Calibri" w:eastAsia="Calibri" w:hAnsi="Calibri"/>
          <w:b/>
          <w:bCs/>
          <w:color w:val="7A0019"/>
          <w:sz w:val="48"/>
          <w:szCs w:val="48"/>
        </w:rPr>
        <w:t xml:space="preserve">Executive Briefing and Business Case Template</w:t>
      </w:r>
    </w:p>
    <w:p>
      <w:pPr>
        <w:spacing w:after="120"/>
      </w:pPr>
      <w:r>
        <w:rPr>
          <w:rFonts w:ascii="Calibri" w:cs="Calibri" w:eastAsia="Calibri" w:hAnsi="Calibri"/>
          <w:color w:val="595959"/>
          <w:sz w:val="30"/>
          <w:szCs w:val="30"/>
        </w:rPr>
        <w:t xml:space="preserve">Immutable data protection for the University of Minnesota</w:t>
      </w:r>
    </w:p>
    <w:p>
      <w:pPr>
        <w:pBdr>
          <w:bottom w:val="single" w:color="FFCC33" w:sz="12" w:space="8"/>
        </w:pBdr>
        <w:spacing w:after="360"/>
      </w:pPr>
      <w:r>
        <w:rPr>
          <w:rFonts w:ascii="Calibri" w:cs="Calibri" w:eastAsia="Calibri" w:hAnsi="Calibri"/>
          <w:i/>
          <w:iCs/>
          <w:sz w:val="24"/>
          <w:szCs w:val="24"/>
        </w:rPr>
        <w:t xml:space="preserve">Azure Storage, Data Protection, and Resilience at Scale</w:t>
      </w:r>
    </w:p>
    <w:p>
      <w:pPr>
        <w:spacing w:after="80"/>
      </w:pPr>
      <w:r>
        <w:rPr>
          <w:rFonts w:ascii="Calibri" w:cs="Calibri" w:eastAsia="Calibri" w:hAnsi="Calibri"/>
          <w:b/>
          <w:bCs/>
          <w:sz w:val="22"/>
          <w:szCs w:val="22"/>
        </w:rPr>
        <w:t xml:space="preserve">Used in: </w:t>
      </w:r>
      <w:r>
        <w:rPr>
          <w:rFonts w:ascii="Calibri" w:cs="Calibri" w:eastAsia="Calibri" w:hAnsi="Calibri"/>
          <w:sz w:val="22"/>
          <w:szCs w:val="22"/>
        </w:rPr>
        <w:t xml:space="preserve">Session 3 (executive briefing one-pager) and Session 5 (business case template)</w:t>
      </w:r>
    </w:p>
    <w:p>
      <w:pPr>
        <w:spacing w:after="80"/>
      </w:pPr>
      <w:r>
        <w:rPr>
          <w:rFonts w:ascii="Calibri" w:cs="Calibri" w:eastAsia="Calibri" w:hAnsi="Calibri"/>
          <w:b/>
          <w:bCs/>
          <w:sz w:val="22"/>
          <w:szCs w:val="22"/>
        </w:rPr>
        <w:t xml:space="preserve">Audience: </w:t>
      </w:r>
      <w:r>
        <w:rPr>
          <w:rFonts w:ascii="Calibri" w:cs="Calibri" w:eastAsia="Calibri" w:hAnsi="Calibri"/>
          <w:sz w:val="22"/>
          <w:szCs w:val="22"/>
        </w:rPr>
        <w:t xml:space="preserve">Course attendees preparing a proposal for university leadership</w:t>
      </w:r>
    </w:p>
    <w:p>
      <w:pPr>
        <w:spacing w:after="80"/>
      </w:pPr>
      <w:r>
        <w:rPr>
          <w:rFonts w:ascii="Calibri" w:cs="Calibri" w:eastAsia="Calibri" w:hAnsi="Calibri"/>
          <w:b/>
          <w:bCs/>
          <w:sz w:val="22"/>
          <w:szCs w:val="22"/>
        </w:rPr>
        <w:t xml:space="preserve">Format: </w:t>
      </w:r>
      <w:r>
        <w:rPr>
          <w:rFonts w:ascii="Calibri" w:cs="Calibri" w:eastAsia="Calibri" w:hAnsi="Calibri"/>
          <w:sz w:val="22"/>
          <w:szCs w:val="22"/>
        </w:rPr>
        <w:t xml:space="preserve">Page 1 is the one-pager, ready to adapt; the remaining sections are the template with guidance and a worked example</w:t>
      </w:r>
    </w:p>
    <w:p>
      <w:pPr>
        <w:spacing w:before="400"/>
      </w:pPr>
      <w:r>
        <w:rPr>
          <w:rFonts w:ascii="Calibri" w:cs="Calibri" w:eastAsia="Calibri" w:hAnsi="Calibri"/>
          <w:i/>
          <w:iCs/>
          <w:color w:val="595959"/>
          <w:sz w:val="20"/>
          <w:szCs w:val="20"/>
        </w:rPr>
        <w:t xml:space="preserve">The worked example uses synthetic figures and the illustrative prices from the course cost model. Replace every number before any figure reaches a decision maker.</w:t>
      </w:r>
    </w:p>
    <w:p>
      <w:r>
        <w:br w:type="page"/>
      </w:r>
    </w:p>
    <w:p>
      <w:pPr>
        <w:spacing w:after="160"/>
      </w:pPr>
      <w:r>
        <w:rPr>
          <w:rFonts w:ascii="Calibri" w:cs="Calibri" w:eastAsia="Calibri" w:hAnsi="Calibri"/>
          <w:b/>
          <w:bCs/>
          <w:color w:val="7A0019"/>
          <w:sz w:val="32"/>
          <w:szCs w:val="32"/>
        </w:rPr>
        <w:t xml:space="preserve">Contents</w:t>
      </w:r>
    </w:p>
    <w:sdt>
      <w:sdtPr>
        <w:alias w:val="Contents"/>
      </w:sdtPr>
      <w:sdtContent>
        <w:p>
          <w:r>
            <w:fldChar w:fldCharType="begin" w:dirty="true"/>
            <w:instrText xml:space="preserve">TOC \h \o "1-2"</w:instrText>
            <w:fldChar w:fldCharType="separate"/>
          </w:r>
        </w:p>
        <w:p>
          <w:pPr>
            <w:tabs>
              <w:tab w:val="right" w:leader="dot" w:pos="9350"/>
            </w:tabs>
            <w:spacing w:before="100" w:after="40"/>
            <w:ind w:left="0"/>
          </w:pPr>
          <w:r>
            <w:rPr>
              <w:rFonts w:ascii="Calibri" w:cs="Calibri" w:eastAsia="Calibri" w:hAnsi="Calibri"/>
              <w:b/>
              <w:bCs/>
              <w:sz w:val="22"/>
              <w:szCs w:val="22"/>
            </w:rPr>
            <w:t xml:space="preserve">1. Executive briefing: why immutability matters and what it costs</w:t>
          </w:r>
          <w:r>
            <w:rPr>
              <w:rFonts w:ascii="Calibri" w:cs="Calibri" w:eastAsia="Calibri" w:hAnsi="Calibri"/>
              <w:b/>
              <w:bCs/>
              <w:sz w:val="22"/>
              <w:szCs w:val="22"/>
            </w:rPr>
            <w:tab/>
            <w:t>3</w:t>
          </w:r>
        </w:p>
        <w:p>
          <w:pPr>
            <w:tabs>
              <w:tab w:val="right" w:leader="dot" w:pos="9350"/>
            </w:tabs>
            <w:spacing w:before="100" w:after="40"/>
            <w:ind w:left="0"/>
          </w:pPr>
          <w:r>
            <w:rPr>
              <w:rFonts w:ascii="Calibri" w:cs="Calibri" w:eastAsia="Calibri" w:hAnsi="Calibri"/>
              <w:b/>
              <w:bCs/>
              <w:sz w:val="22"/>
              <w:szCs w:val="22"/>
            </w:rPr>
            <w:t xml:space="preserve">2. How to use the business case template</w:t>
          </w:r>
          <w:r>
            <w:rPr>
              <w:rFonts w:ascii="Calibri" w:cs="Calibri" w:eastAsia="Calibri" w:hAnsi="Calibri"/>
              <w:b/>
              <w:bCs/>
              <w:sz w:val="22"/>
              <w:szCs w:val="22"/>
            </w:rPr>
            <w:tab/>
            <w:t>4</w:t>
          </w:r>
        </w:p>
        <w:p>
          <w:pPr>
            <w:tabs>
              <w:tab w:val="right" w:leader="dot" w:pos="9350"/>
            </w:tabs>
            <w:spacing w:before="100" w:after="40"/>
            <w:ind w:left="0"/>
          </w:pPr>
          <w:r>
            <w:rPr>
              <w:rFonts w:ascii="Calibri" w:cs="Calibri" w:eastAsia="Calibri" w:hAnsi="Calibri"/>
              <w:b/>
              <w:bCs/>
              <w:sz w:val="22"/>
              <w:szCs w:val="22"/>
            </w:rPr>
            <w:t xml:space="preserve">3. Summary (half a page)</w:t>
          </w:r>
          <w:r>
            <w:rPr>
              <w:rFonts w:ascii="Calibri" w:cs="Calibri" w:eastAsia="Calibri" w:hAnsi="Calibri"/>
              <w:b/>
              <w:bCs/>
              <w:sz w:val="22"/>
              <w:szCs w:val="22"/>
            </w:rPr>
            <w:tab/>
            <w:t>4</w:t>
          </w:r>
        </w:p>
        <w:p>
          <w:pPr>
            <w:tabs>
              <w:tab w:val="right" w:leader="dot" w:pos="9350"/>
            </w:tabs>
            <w:spacing w:before="100" w:after="40"/>
            <w:ind w:left="0"/>
          </w:pPr>
          <w:r>
            <w:rPr>
              <w:rFonts w:ascii="Calibri" w:cs="Calibri" w:eastAsia="Calibri" w:hAnsi="Calibri"/>
              <w:b/>
              <w:bCs/>
              <w:sz w:val="22"/>
              <w:szCs w:val="22"/>
            </w:rPr>
            <w:t xml:space="preserve">4. Current state and risk</w:t>
          </w:r>
          <w:r>
            <w:rPr>
              <w:rFonts w:ascii="Calibri" w:cs="Calibri" w:eastAsia="Calibri" w:hAnsi="Calibri"/>
              <w:b/>
              <w:bCs/>
              <w:sz w:val="22"/>
              <w:szCs w:val="22"/>
            </w:rPr>
            <w:tab/>
            <w:t>4</w:t>
          </w:r>
        </w:p>
        <w:p>
          <w:pPr>
            <w:tabs>
              <w:tab w:val="right" w:leader="dot" w:pos="9350"/>
            </w:tabs>
            <w:spacing w:before="100" w:after="40"/>
            <w:ind w:left="0"/>
          </w:pPr>
          <w:r>
            <w:rPr>
              <w:rFonts w:ascii="Calibri" w:cs="Calibri" w:eastAsia="Calibri" w:hAnsi="Calibri"/>
              <w:b/>
              <w:bCs/>
              <w:sz w:val="22"/>
              <w:szCs w:val="22"/>
            </w:rPr>
            <w:t xml:space="preserve">5. Proposed architecture</w:t>
          </w:r>
          <w:r>
            <w:rPr>
              <w:rFonts w:ascii="Calibri" w:cs="Calibri" w:eastAsia="Calibri" w:hAnsi="Calibri"/>
              <w:b/>
              <w:bCs/>
              <w:sz w:val="22"/>
              <w:szCs w:val="22"/>
            </w:rPr>
            <w:tab/>
            <w:t>5</w:t>
          </w:r>
        </w:p>
        <w:p>
          <w:pPr>
            <w:tabs>
              <w:tab w:val="right" w:leader="dot" w:pos="9350"/>
            </w:tabs>
            <w:spacing w:before="100" w:after="40"/>
            <w:ind w:left="0"/>
          </w:pPr>
          <w:r>
            <w:rPr>
              <w:rFonts w:ascii="Calibri" w:cs="Calibri" w:eastAsia="Calibri" w:hAnsi="Calibri"/>
              <w:b/>
              <w:bCs/>
              <w:sz w:val="22"/>
              <w:szCs w:val="22"/>
            </w:rPr>
            <w:t xml:space="preserve">6. Cost</w:t>
          </w:r>
          <w:r>
            <w:rPr>
              <w:rFonts w:ascii="Calibri" w:cs="Calibri" w:eastAsia="Calibri" w:hAnsi="Calibri"/>
              <w:b/>
              <w:bCs/>
              <w:sz w:val="22"/>
              <w:szCs w:val="22"/>
            </w:rPr>
            <w:tab/>
            <w:t>5</w:t>
          </w:r>
        </w:p>
        <w:p>
          <w:pPr>
            <w:tabs>
              <w:tab w:val="right" w:leader="dot" w:pos="9350"/>
            </w:tabs>
            <w:spacing w:before="100" w:after="40"/>
            <w:ind w:left="0"/>
          </w:pPr>
          <w:r>
            <w:rPr>
              <w:rFonts w:ascii="Calibri" w:cs="Calibri" w:eastAsia="Calibri" w:hAnsi="Calibri"/>
              <w:b/>
              <w:bCs/>
              <w:sz w:val="22"/>
              <w:szCs w:val="22"/>
            </w:rPr>
            <w:t xml:space="preserve">7. Options and trade-offs</w:t>
          </w:r>
          <w:r>
            <w:rPr>
              <w:rFonts w:ascii="Calibri" w:cs="Calibri" w:eastAsia="Calibri" w:hAnsi="Calibri"/>
              <w:b/>
              <w:bCs/>
              <w:sz w:val="22"/>
              <w:szCs w:val="22"/>
            </w:rPr>
            <w:tab/>
            <w:t>6</w:t>
          </w:r>
        </w:p>
        <w:p>
          <w:pPr>
            <w:tabs>
              <w:tab w:val="right" w:leader="dot" w:pos="9350"/>
            </w:tabs>
            <w:spacing w:before="100" w:after="40"/>
            <w:ind w:left="0"/>
          </w:pPr>
          <w:r>
            <w:rPr>
              <w:rFonts w:ascii="Calibri" w:cs="Calibri" w:eastAsia="Calibri" w:hAnsi="Calibri"/>
              <w:b/>
              <w:bCs/>
              <w:sz w:val="22"/>
              <w:szCs w:val="22"/>
            </w:rPr>
            <w:t xml:space="preserve">8. Risks and dependencies</w:t>
          </w:r>
          <w:r>
            <w:rPr>
              <w:rFonts w:ascii="Calibri" w:cs="Calibri" w:eastAsia="Calibri" w:hAnsi="Calibri"/>
              <w:b/>
              <w:bCs/>
              <w:sz w:val="22"/>
              <w:szCs w:val="22"/>
            </w:rPr>
            <w:tab/>
            <w:t>6</w:t>
          </w:r>
        </w:p>
        <w:p>
          <w:pPr>
            <w:tabs>
              <w:tab w:val="right" w:leader="dot" w:pos="9350"/>
            </w:tabs>
            <w:spacing w:before="100" w:after="40"/>
            <w:ind w:left="0"/>
          </w:pPr>
          <w:r>
            <w:rPr>
              <w:rFonts w:ascii="Calibri" w:cs="Calibri" w:eastAsia="Calibri" w:hAnsi="Calibri"/>
              <w:b/>
              <w:bCs/>
              <w:sz w:val="22"/>
              <w:szCs w:val="22"/>
            </w:rPr>
            <w:t xml:space="preserve">9. Decisions requested</w:t>
          </w:r>
          <w:r>
            <w:rPr>
              <w:rFonts w:ascii="Calibri" w:cs="Calibri" w:eastAsia="Calibri" w:hAnsi="Calibri"/>
              <w:b/>
              <w:bCs/>
              <w:sz w:val="22"/>
              <w:szCs w:val="22"/>
            </w:rPr>
            <w:tab/>
            <w:t>7</w:t>
          </w:r>
        </w:p>
        <w:p>
          <w:pPr>
            <w:tabs>
              <w:tab w:val="right" w:leader="dot" w:pos="9350"/>
            </w:tabs>
            <w:spacing w:before="100" w:after="40"/>
            <w:ind w:left="0"/>
          </w:pPr>
          <w:r>
            <w:rPr>
              <w:rFonts w:ascii="Calibri" w:cs="Calibri" w:eastAsia="Calibri" w:hAnsi="Calibri"/>
              <w:b/>
              <w:bCs/>
              <w:sz w:val="22"/>
              <w:szCs w:val="22"/>
            </w:rPr>
            <w:t xml:space="preserve">10. Evidence plan</w:t>
          </w:r>
          <w:r>
            <w:rPr>
              <w:rFonts w:ascii="Calibri" w:cs="Calibri" w:eastAsia="Calibri" w:hAnsi="Calibri"/>
              <w:b/>
              <w:bCs/>
              <w:sz w:val="22"/>
              <w:szCs w:val="22"/>
            </w:rPr>
            <w:tab/>
            <w:t>7</w:t>
          </w:r>
        </w:p>
        <w:p>
          <w:pPr>
            <w:tabs>
              <w:tab w:val="right" w:leader="dot" w:pos="9350"/>
            </w:tabs>
            <w:spacing w:before="100" w:after="40"/>
            <w:ind w:left="0"/>
          </w:pPr>
          <w:r>
            <w:rPr>
              <w:rFonts w:ascii="Calibri" w:cs="Calibri" w:eastAsia="Calibri" w:hAnsi="Calibri"/>
              <w:b/>
              <w:bCs/>
              <w:sz w:val="22"/>
              <w:szCs w:val="22"/>
            </w:rPr>
            <w:t xml:space="preserve">11. Appendix: control reference for the technical reader</w:t>
          </w:r>
          <w:r>
            <w:rPr>
              <w:rFonts w:ascii="Calibri" w:cs="Calibri" w:eastAsia="Calibri" w:hAnsi="Calibri"/>
              <w:b/>
              <w:bCs/>
              <w:sz w:val="22"/>
              <w:szCs w:val="22"/>
            </w:rPr>
            <w:tab/>
            <w:t>7</w:t>
          </w:r>
        </w:p>
        <w:p>
          <w:r>
            <w:fldChar w:fldCharType="end"/>
          </w:r>
        </w:p>
      </w:sdtContent>
    </w:sdt>
    <w:p>
      <w:r>
        <w:br w:type="page"/>
      </w:r>
    </w:p>
    <w:p>
      <w:pPr>
        <w:pStyle w:val="Heading1"/>
        <w:spacing w:after="160" w:before="360"/>
      </w:pPr>
      <w:r>
        <w:rPr>
          <w:rFonts w:ascii="Calibri" w:cs="Calibri" w:eastAsia="Calibri" w:hAnsi="Calibri"/>
          <w:b/>
          <w:bCs/>
          <w:color w:val="7A0019"/>
          <w:sz w:val="32"/>
          <w:szCs w:val="32"/>
        </w:rPr>
        <w:t xml:space="preserve">1. Executive briefing: why immutability matters and what it costs</w:t>
      </w: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In one sentence</w:t>
            </w:r>
          </w:p>
          <w:p>
            <w:pPr>
              <w:spacing w:after="60" w:line="264"/>
            </w:pPr>
            <w:r>
              <w:rPr>
                <w:rFonts w:ascii="Calibri" w:cs="Calibri" w:eastAsia="Calibri" w:hAnsi="Calibri"/>
                <w:sz w:val="22"/>
                <w:szCs w:val="22"/>
              </w:rPr>
              <w:t xml:space="preserve">Our backups cannot be deleted, shortened, or switched off by any single administrator, including a compromised one, until their retention expires, and we prove it with a restore every quarter.</w:t>
            </w:r>
          </w:p>
        </w:tc>
      </w:tr>
    </w:tbl>
    <w:p>
      <w:pPr>
        <w:spacing w:after="120"/>
      </w:pPr>
    </w:p>
    <w:p>
      <w:pPr>
        <w:pStyle w:val="Heading3"/>
        <w:spacing w:after="80" w:before="200"/>
      </w:pPr>
      <w:r>
        <w:rPr>
          <w:rFonts w:ascii="Calibri" w:cs="Calibri" w:eastAsia="Calibri" w:hAnsi="Calibri"/>
          <w:b/>
          <w:bCs/>
          <w:color w:val="595959"/>
          <w:sz w:val="23"/>
          <w:szCs w:val="23"/>
        </w:rPr>
        <w:t xml:space="preserve">The problem</w:t>
      </w:r>
    </w:p>
    <w:p>
      <w:pPr>
        <w:spacing w:after="140" w:line="276"/>
      </w:pPr>
      <w:r>
        <w:rPr>
          <w:rFonts w:ascii="Calibri" w:cs="Calibri" w:eastAsia="Calibri" w:hAnsi="Calibri"/>
          <w:sz w:val="22"/>
          <w:szCs w:val="22"/>
        </w:rPr>
        <w:t xml:space="preserve">Ransomware operators and malicious insiders target backups first, because an organization that cannot recover will pay. On most on-premises systems, and in any cloud configuration that is not deliberately hardened, a backup administrator can delete backup data, shorten retention until backups expire, disable protection features, and delete the repository.</w:t>
      </w:r>
    </w:p>
    <w:p>
      <w:pPr>
        <w:pStyle w:val="Heading3"/>
        <w:spacing w:after="80" w:before="200"/>
      </w:pPr>
      <w:r>
        <w:rPr>
          <w:rFonts w:ascii="Calibri" w:cs="Calibri" w:eastAsia="Calibri" w:hAnsi="Calibri"/>
          <w:b/>
          <w:bCs/>
          <w:color w:val="595959"/>
          <w:sz w:val="23"/>
          <w:szCs w:val="23"/>
        </w:rPr>
        <w:t xml:space="preserve">What immutable protection means in Azure</w:t>
      </w:r>
    </w:p>
    <w:p>
      <w:pPr>
        <w:pStyle w:val="ListParagraph"/>
        <w:numPr>
          <w:ilvl w:val="0"/>
          <w:numId w:val="2"/>
        </w:numPr>
        <w:spacing w:after="90" w:line="264"/>
      </w:pPr>
      <w:r>
        <w:rPr>
          <w:rFonts w:ascii="Calibri" w:cs="Calibri" w:eastAsia="Calibri" w:hAnsi="Calibri"/>
          <w:b/>
          <w:bCs/>
          <w:sz w:val="22"/>
          <w:szCs w:val="22"/>
        </w:rPr>
        <w:t xml:space="preserve">Immutable vaults</w:t>
      </w:r>
      <w:r>
        <w:rPr>
          <w:rFonts w:ascii="Calibri" w:cs="Calibri" w:eastAsia="Calibri" w:hAnsi="Calibri"/>
          <w:sz w:val="22"/>
          <w:szCs w:val="22"/>
        </w:rPr>
        <w:t xml:space="preserve"> block every operation that would lose a recovery point. Enabled is reversible for validation; locked is permanent.</w:t>
      </w:r>
    </w:p>
    <w:p>
      <w:pPr>
        <w:pStyle w:val="ListParagraph"/>
        <w:numPr>
          <w:ilvl w:val="0"/>
          <w:numId w:val="2"/>
        </w:numPr>
        <w:spacing w:after="90" w:line="264"/>
      </w:pPr>
      <w:r>
        <w:rPr>
          <w:rFonts w:ascii="Calibri" w:cs="Calibri" w:eastAsia="Calibri" w:hAnsi="Calibri"/>
          <w:b/>
          <w:bCs/>
          <w:sz w:val="22"/>
          <w:szCs w:val="22"/>
        </w:rPr>
        <w:t xml:space="preserve">Soft delete, enhanced and always on</w:t>
      </w:r>
      <w:r>
        <w:rPr>
          <w:rFonts w:ascii="Calibri" w:cs="Calibri" w:eastAsia="Calibri" w:hAnsi="Calibri"/>
          <w:sz w:val="22"/>
          <w:szCs w:val="22"/>
        </w:rPr>
        <w:t xml:space="preserve">, keeps deleted backup data for up to 180 days and cannot be turned off.</w:t>
      </w:r>
    </w:p>
    <w:p>
      <w:pPr>
        <w:pStyle w:val="ListParagraph"/>
        <w:numPr>
          <w:ilvl w:val="0"/>
          <w:numId w:val="2"/>
        </w:numPr>
        <w:spacing w:after="90" w:line="264"/>
      </w:pPr>
      <w:r>
        <w:rPr>
          <w:rFonts w:ascii="Calibri" w:cs="Calibri" w:eastAsia="Calibri" w:hAnsi="Calibri"/>
          <w:b/>
          <w:bCs/>
          <w:sz w:val="22"/>
          <w:szCs w:val="22"/>
        </w:rPr>
        <w:t xml:space="preserve">Multi-user authorization</w:t>
      </w:r>
      <w:r>
        <w:rPr>
          <w:rFonts w:ascii="Calibri" w:cs="Calibri" w:eastAsia="Calibri" w:hAnsi="Calibri"/>
          <w:sz w:val="22"/>
          <w:szCs w:val="22"/>
        </w:rPr>
        <w:t xml:space="preserve"> means the vault administrator alone cannot perform a critical operation; a Resource Guard owned by Security must authorize it.</w:t>
      </w:r>
    </w:p>
    <w:p>
      <w:pPr>
        <w:pStyle w:val="ListParagraph"/>
        <w:numPr>
          <w:ilvl w:val="0"/>
          <w:numId w:val="2"/>
        </w:numPr>
        <w:spacing w:after="90" w:line="264"/>
      </w:pPr>
      <w:r>
        <w:rPr>
          <w:rFonts w:ascii="Calibri" w:cs="Calibri" w:eastAsia="Calibri" w:hAnsi="Calibri"/>
          <w:b/>
          <w:bCs/>
          <w:sz w:val="22"/>
          <w:szCs w:val="22"/>
        </w:rPr>
        <w:t xml:space="preserve">Locked immutable Blob storage</w:t>
      </w:r>
      <w:r>
        <w:rPr>
          <w:rFonts w:ascii="Calibri" w:cs="Calibri" w:eastAsia="Calibri" w:hAnsi="Calibri"/>
          <w:sz w:val="22"/>
          <w:szCs w:val="22"/>
        </w:rPr>
        <w:t xml:space="preserve"> keeps backup images, archives, and database backups unalterable for the retention period, and the storage account cannot be deleted while a locked policy exists; </w:t>
      </w:r>
      <w:r>
        <w:rPr>
          <w:rFonts w:ascii="Calibri" w:cs="Calibri" w:eastAsia="Calibri" w:hAnsi="Calibri"/>
          <w:b/>
          <w:bCs/>
          <w:sz w:val="22"/>
          <w:szCs w:val="22"/>
        </w:rPr>
        <w:t xml:space="preserve">alerts and audit</w:t>
      </w:r>
      <w:r>
        <w:rPr>
          <w:rFonts w:ascii="Calibri" w:cs="Calibri" w:eastAsia="Calibri" w:hAnsi="Calibri"/>
          <w:sz w:val="22"/>
          <w:szCs w:val="22"/>
        </w:rPr>
        <w:t xml:space="preserve"> make every attempt visible to Security.</w:t>
      </w:r>
    </w:p>
    <w:p>
      <w:pPr>
        <w:pStyle w:val="Heading3"/>
        <w:spacing w:after="80" w:before="200"/>
      </w:pPr>
      <w:r>
        <w:rPr>
          <w:rFonts w:ascii="Calibri" w:cs="Calibri" w:eastAsia="Calibri" w:hAnsi="Calibri"/>
          <w:b/>
          <w:bCs/>
          <w:color w:val="595959"/>
          <w:sz w:val="23"/>
          <w:szCs w:val="23"/>
        </w:rPr>
        <w:t xml:space="preserve">What it costs</w:t>
      </w:r>
    </w:p>
    <w:p>
      <w:pPr>
        <w:spacing w:after="140" w:line="276"/>
      </w:pPr>
      <w:r>
        <w:rPr>
          <w:rFonts w:ascii="Calibri" w:cs="Calibri" w:eastAsia="Calibri" w:hAnsi="Calibri"/>
          <w:sz w:val="22"/>
          <w:szCs w:val="22"/>
        </w:rPr>
        <w:t xml:space="preserve">Immutability, soft delete, and multi-user authorization carry no additional platform charge. The costs are retention length and vault redundancy, which the business chooses, plus engineering time to configure and rehearse. A critical database runs in the low hundreds of dollars a month at illustrative prices; for the research estate, tiering and reserved capacity fund protection out of the savings from leaving the all-Hot model.</w:t>
      </w:r>
    </w:p>
    <w:p>
      <w:pPr>
        <w:pStyle w:val="Heading3"/>
        <w:spacing w:after="80" w:before="200"/>
      </w:pPr>
      <w:r>
        <w:rPr>
          <w:rFonts w:ascii="Calibri" w:cs="Calibri" w:eastAsia="Calibri" w:hAnsi="Calibri"/>
          <w:b/>
          <w:bCs/>
          <w:color w:val="595959"/>
          <w:sz w:val="23"/>
          <w:szCs w:val="23"/>
        </w:rPr>
        <w:t xml:space="preserve">What leadership is asked to decide</w:t>
      </w:r>
    </w:p>
    <w:p>
      <w:pPr>
        <w:pStyle w:val="ListParagraph"/>
        <w:numPr>
          <w:ilvl w:val="0"/>
          <w:numId w:val="3"/>
        </w:numPr>
        <w:spacing w:after="90" w:line="264"/>
      </w:pPr>
      <w:r>
        <w:rPr>
          <w:rFonts w:ascii="Calibri" w:cs="Calibri" w:eastAsia="Calibri" w:hAnsi="Calibri"/>
          <w:sz w:val="22"/>
          <w:szCs w:val="22"/>
        </w:rPr>
        <w:t xml:space="preserve">Where the Resource Guard and protection subscription live and who owns them (recommendation: Security).</w:t>
      </w:r>
    </w:p>
    <w:p>
      <w:pPr>
        <w:pStyle w:val="ListParagraph"/>
        <w:numPr>
          <w:ilvl w:val="0"/>
          <w:numId w:val="3"/>
        </w:numPr>
        <w:spacing w:after="90" w:line="264"/>
      </w:pPr>
      <w:r>
        <w:rPr>
          <w:rFonts w:ascii="Calibri" w:cs="Calibri" w:eastAsia="Calibri" w:hAnsi="Calibri"/>
          <w:sz w:val="22"/>
          <w:szCs w:val="22"/>
        </w:rPr>
        <w:t xml:space="preserve">The retention classes and who holds lock authority (recommendation: the records office with data stewards; Security executes the lock).</w:t>
      </w:r>
    </w:p>
    <w:p>
      <w:pPr>
        <w:pStyle w:val="ListParagraph"/>
        <w:numPr>
          <w:ilvl w:val="0"/>
          <w:numId w:val="3"/>
        </w:numPr>
        <w:spacing w:after="90" w:line="264"/>
      </w:pPr>
      <w:r>
        <w:rPr>
          <w:rFonts w:ascii="Calibri" w:cs="Calibri" w:eastAsia="Calibri" w:hAnsi="Calibri"/>
          <w:sz w:val="22"/>
          <w:szCs w:val="22"/>
        </w:rPr>
        <w:t xml:space="preserve">The restore rehearsal cadence and the audience for the evidence report (recommendation: weekly automated, quarterly rehearsed, reported to the CIO and the audit committee).</w:t>
      </w:r>
    </w:p>
    <w:p>
      <w:pPr>
        <w:spacing w:after="140" w:line="276"/>
      </w:pPr>
      <w:r>
        <w:rPr>
          <w:rFonts w:ascii="Calibri" w:cs="Calibri" w:eastAsia="Calibri" w:hAnsi="Calibri"/>
          <w:b/>
          <w:bCs/>
          <w:sz w:val="22"/>
          <w:szCs w:val="22"/>
        </w:rPr>
        <w:t xml:space="preserve">In one quarter we will be able to say:</w:t>
      </w:r>
      <w:r>
        <w:rPr>
          <w:rFonts w:ascii="Calibri" w:cs="Calibri" w:eastAsia="Calibri" w:hAnsi="Calibri"/>
          <w:sz w:val="22"/>
          <w:szCs w:val="22"/>
        </w:rPr>
        <w:t xml:space="preserve"> the backups of the ERP and identity platforms, the campus file servers, and the research archives are immutable, no single administrator can undo that, and we restored from them and reconciled the finance control totals on a known date.</w:t>
      </w:r>
    </w:p>
    <w:p>
      <w:r>
        <w:br w:type="page"/>
      </w:r>
    </w:p>
    <w:p>
      <w:pPr>
        <w:pStyle w:val="Heading1"/>
        <w:spacing w:after="160" w:before="360"/>
      </w:pPr>
      <w:r>
        <w:rPr>
          <w:rFonts w:ascii="Calibri" w:cs="Calibri" w:eastAsia="Calibri" w:hAnsi="Calibri"/>
          <w:b/>
          <w:bCs/>
          <w:color w:val="7A0019"/>
          <w:sz w:val="32"/>
          <w:szCs w:val="32"/>
        </w:rPr>
        <w:t xml:space="preserve">2. How to use the business case template</w:t>
      </w:r>
    </w:p>
    <w:p>
      <w:pPr>
        <w:spacing w:after="140" w:line="276"/>
      </w:pPr>
      <w:r>
        <w:rPr>
          <w:rFonts w:ascii="Calibri" w:cs="Calibri" w:eastAsia="Calibri" w:hAnsi="Calibri"/>
          <w:sz w:val="22"/>
          <w:szCs w:val="22"/>
        </w:rPr>
        <w:t xml:space="preserve">Sections 3 to 10 are the template. Each has guidance in italics followed by a worked example drawn from the Session 5 design exercise (the ERP, identity, and departmental Oracle databases). Replace the example with the university's own figures: the course cost model workbook (BackupRetention, Scenarios, and EgressAndCopies sheets) produces the numbers for sections 6 and 7, and the Session 4 resilience matrix supplies the RPO and RTO for section 4.</w:t>
      </w:r>
    </w:p>
    <w:p>
      <w:pPr>
        <w:pStyle w:val="ListParagraph"/>
        <w:numPr>
          <w:ilvl w:val="0"/>
          <w:numId w:val="2"/>
        </w:numPr>
        <w:spacing w:after="90" w:line="264"/>
      </w:pPr>
      <w:r>
        <w:rPr>
          <w:rFonts w:ascii="Calibri" w:cs="Calibri" w:eastAsia="Calibri" w:hAnsi="Calibri"/>
          <w:sz w:val="22"/>
          <w:szCs w:val="22"/>
        </w:rPr>
        <w:t xml:space="preserve">Keep the whole case to four pages when submitted; leadership reads the summary and the options.</w:t>
      </w:r>
    </w:p>
    <w:p>
      <w:pPr>
        <w:pStyle w:val="ListParagraph"/>
        <w:numPr>
          <w:ilvl w:val="0"/>
          <w:numId w:val="2"/>
        </w:numPr>
        <w:spacing w:after="90" w:line="264"/>
      </w:pPr>
      <w:r>
        <w:rPr>
          <w:rFonts w:ascii="Calibri" w:cs="Calibri" w:eastAsia="Calibri" w:hAnsi="Calibri"/>
          <w:sz w:val="22"/>
          <w:szCs w:val="22"/>
        </w:rPr>
        <w:t xml:space="preserve">Every number carries its source: 'cost model, illustrative' until a quote replaces it.</w:t>
      </w:r>
    </w:p>
    <w:p>
      <w:pPr>
        <w:pStyle w:val="ListParagraph"/>
        <w:numPr>
          <w:ilvl w:val="0"/>
          <w:numId w:val="2"/>
        </w:numPr>
        <w:spacing w:after="90" w:line="264"/>
      </w:pPr>
      <w:r>
        <w:rPr>
          <w:rFonts w:ascii="Calibri" w:cs="Calibri" w:eastAsia="Calibri" w:hAnsi="Calibri"/>
          <w:sz w:val="22"/>
          <w:szCs w:val="22"/>
        </w:rPr>
        <w:t xml:space="preserve">Present two or three options with trade-offs; a single recommendation invites a yes or no, options invite a decision.</w:t>
      </w:r>
    </w:p>
    <w:p>
      <w:pPr>
        <w:pStyle w:val="Heading1"/>
        <w:spacing w:after="160" w:before="360"/>
      </w:pPr>
      <w:r>
        <w:rPr>
          <w:rFonts w:ascii="Calibri" w:cs="Calibri" w:eastAsia="Calibri" w:hAnsi="Calibri"/>
          <w:b/>
          <w:bCs/>
          <w:color w:val="7A0019"/>
          <w:sz w:val="32"/>
          <w:szCs w:val="32"/>
        </w:rPr>
        <w:t xml:space="preserve">3. Summary (half a page)</w:t>
      </w:r>
    </w:p>
    <w:p>
      <w:pPr>
        <w:spacing w:after="140" w:line="276"/>
      </w:pPr>
      <w:r>
        <w:rPr>
          <w:rFonts w:ascii="Calibri" w:cs="Calibri" w:eastAsia="Calibri" w:hAnsi="Calibri"/>
          <w:i/>
          <w:iCs/>
          <w:color w:val="595959"/>
          <w:sz w:val="20"/>
          <w:szCs w:val="20"/>
        </w:rPr>
        <w:t xml:space="preserve">Guidance: state the risk in business terms, the proposal in one paragraph, the cost, and the decision requested. No product names in the first paragraph.</w:t>
      </w:r>
    </w:p>
    <w:p>
      <w:pPr>
        <w:spacing w:after="140" w:line="276"/>
      </w:pPr>
      <w:r>
        <w:rPr>
          <w:rFonts w:ascii="Calibri" w:cs="Calibri" w:eastAsia="Calibri" w:hAnsi="Calibri"/>
          <w:b/>
          <w:bCs/>
          <w:sz w:val="22"/>
          <w:szCs w:val="22"/>
        </w:rPr>
        <w:t xml:space="preserve">Example.</w:t>
      </w:r>
      <w:r>
        <w:rPr>
          <w:rFonts w:ascii="Calibri" w:cs="Calibri" w:eastAsia="Calibri" w:hAnsi="Calibri"/>
          <w:sz w:val="22"/>
          <w:szCs w:val="22"/>
        </w:rPr>
        <w:t xml:space="preserve"> The university's ERP and identity platforms depend on Oracle databases whose backups can today be deleted by any database or storage administrator and would be among the first targets of a ransomware operator. We propose an immutability tier: backups written to storage that the platform refuses to alter for 35 days, owned by a different team than the one that writes them, with weekly automated restores that reconcile the finance control totals. Run cost at illustrative prices is under 1,500 USD a month for the critical databases. We ask leadership to approve the protection subscription under Security ownership, the retention and lock authority, and the quarterly evidence report.</w:t>
      </w:r>
    </w:p>
    <w:p>
      <w:pPr>
        <w:pStyle w:val="Heading1"/>
        <w:spacing w:after="160" w:before="360"/>
      </w:pPr>
      <w:r>
        <w:rPr>
          <w:rFonts w:ascii="Calibri" w:cs="Calibri" w:eastAsia="Calibri" w:hAnsi="Calibri"/>
          <w:b/>
          <w:bCs/>
          <w:color w:val="7A0019"/>
          <w:sz w:val="32"/>
          <w:szCs w:val="32"/>
        </w:rPr>
        <w:t xml:space="preserve">4. Current state and risk</w:t>
      </w:r>
    </w:p>
    <w:p>
      <w:pPr>
        <w:spacing w:after="140" w:line="276"/>
      </w:pPr>
      <w:r>
        <w:rPr>
          <w:rFonts w:ascii="Calibri" w:cs="Calibri" w:eastAsia="Calibri" w:hAnsi="Calibri"/>
          <w:i/>
          <w:iCs/>
          <w:color w:val="595959"/>
          <w:sz w:val="20"/>
          <w:szCs w:val="20"/>
        </w:rPr>
        <w:t xml:space="preserve">Guidance: describe how backups work today, who can destroy them, the recovery objectives in force (or their absence), and the last time a restore was rehearsed. Use the resilience matrix tiers.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46"/>
        <w:gridCol w:w="3744"/>
        <w:gridCol w:w="3370"/>
      </w:tblGrid>
      <w:tr>
        <w:trPr>
          <w:tblHeader/>
        </w:trPr>
        <w:tc>
          <w:tcPr>
            <w:tcW w:type="dxa" w:w="2246"/>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Item</w:t>
            </w:r>
          </w:p>
        </w:tc>
        <w:tc>
          <w:tcPr>
            <w:tcW w:type="dxa" w:w="374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Current state (example)</w:t>
            </w:r>
          </w:p>
        </w:tc>
        <w:tc>
          <w:tcPr>
            <w:tcW w:type="dxa" w:w="337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Risk</w:t>
            </w:r>
          </w:p>
        </w:tc>
      </w:tr>
      <w:tr>
        <w:trPr>
          <w:cantSplit/>
        </w:trPr>
        <w:tc>
          <w:tcPr>
            <w:tcW w:type="dxa" w:w="2246"/>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Backup mechanism</w:t>
            </w:r>
          </w:p>
        </w:tc>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RMAN to a local backup appliance, weekly copy to tape</w:t>
            </w:r>
          </w:p>
        </w:tc>
        <w:tc>
          <w:tcPr>
            <w:tcW w:type="dxa" w:w="3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Appliance and tape catalog deletable by the backup administrator; tape retrieval measured in days</w:t>
            </w:r>
          </w:p>
        </w:tc>
      </w:tr>
      <w:tr>
        <w:trPr>
          <w:cantSplit/>
        </w:trPr>
        <w:tc>
          <w:tcPr>
            <w:tcW w:type="dxa" w:w="2246"/>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Who can delete backups</w:t>
            </w:r>
          </w:p>
        </w:tc>
        <w:tc>
          <w:tcPr>
            <w:tcW w:type="dxa" w:w="3744"/>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Backup administrators, database administrators with appliance rights</w:t>
            </w:r>
          </w:p>
        </w:tc>
        <w:tc>
          <w:tcPr>
            <w:tcW w:type="dxa" w:w="337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 single compromised account removes recovery</w:t>
            </w:r>
          </w:p>
        </w:tc>
      </w:tr>
      <w:tr>
        <w:trPr>
          <w:cantSplit/>
        </w:trPr>
        <w:tc>
          <w:tcPr>
            <w:tcW w:type="dxa" w:w="2246"/>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RPO and RTO in force</w:t>
            </w:r>
          </w:p>
        </w:tc>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Undocumented; estimated 24 hours and 2 days</w:t>
            </w:r>
          </w:p>
        </w:tc>
        <w:tc>
          <w:tcPr>
            <w:tcW w:type="dxa" w:w="3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Mission-critical tier requires 15 minutes and 4 hours</w:t>
            </w:r>
          </w:p>
        </w:tc>
      </w:tr>
      <w:tr>
        <w:trPr>
          <w:cantSplit/>
        </w:trPr>
        <w:tc>
          <w:tcPr>
            <w:tcW w:type="dxa" w:w="2246"/>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Last rehearsed restore</w:t>
            </w:r>
          </w:p>
        </w:tc>
        <w:tc>
          <w:tcPr>
            <w:tcW w:type="dxa" w:w="3744"/>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Partial restore 14 months ago</w:t>
            </w:r>
          </w:p>
        </w:tc>
        <w:tc>
          <w:tcPr>
            <w:tcW w:type="dxa" w:w="337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Unknown restore time; no evidence for audit</w:t>
            </w:r>
          </w:p>
        </w:tc>
      </w:tr>
      <w:tr>
        <w:trPr>
          <w:cantSplit/>
        </w:trPr>
        <w:tc>
          <w:tcPr>
            <w:tcW w:type="dxa" w:w="2246"/>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Separation of duties</w:t>
            </w:r>
          </w:p>
        </w:tc>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None; the same team writes and manages backups</w:t>
            </w:r>
          </w:p>
        </w:tc>
        <w:tc>
          <w:tcPr>
            <w:tcW w:type="dxa" w:w="3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No control holds against an insider</w:t>
            </w:r>
          </w:p>
        </w:tc>
      </w:tr>
    </w:tbl>
    <w:p>
      <w:pPr>
        <w:spacing w:after="120"/>
      </w:pPr>
    </w:p>
    <w:p>
      <w:pPr>
        <w:pStyle w:val="Heading1"/>
        <w:spacing w:after="160" w:before="360"/>
      </w:pPr>
      <w:r>
        <w:rPr>
          <w:rFonts w:ascii="Calibri" w:cs="Calibri" w:eastAsia="Calibri" w:hAnsi="Calibri"/>
          <w:b/>
          <w:bCs/>
          <w:color w:val="7A0019"/>
          <w:sz w:val="32"/>
          <w:szCs w:val="32"/>
        </w:rPr>
        <w:t xml:space="preserve">5. Proposed architecture</w:t>
      </w:r>
    </w:p>
    <w:p>
      <w:pPr>
        <w:spacing w:after="140" w:line="276"/>
      </w:pPr>
      <w:r>
        <w:rPr>
          <w:rFonts w:ascii="Calibri" w:cs="Calibri" w:eastAsia="Calibri" w:hAnsi="Calibri"/>
          <w:i/>
          <w:iCs/>
          <w:color w:val="595959"/>
          <w:sz w:val="20"/>
          <w:szCs w:val="20"/>
        </w:rPr>
        <w:t xml:space="preserve">Guidance: one diagram or table; the controls, who owns each, and the evidence it produces. Keep platform detail in an appendix.</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46"/>
        <w:gridCol w:w="3370"/>
        <w:gridCol w:w="1498"/>
        <w:gridCol w:w="2246"/>
      </w:tblGrid>
      <w:tr>
        <w:trPr>
          <w:tblHeader/>
        </w:trPr>
        <w:tc>
          <w:tcPr>
            <w:tcW w:type="dxa" w:w="2246"/>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Component</w:t>
            </w:r>
          </w:p>
        </w:tc>
        <w:tc>
          <w:tcPr>
            <w:tcW w:type="dxa" w:w="337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What it does</w:t>
            </w:r>
          </w:p>
        </w:tc>
        <w:tc>
          <w:tcPr>
            <w:tcW w:type="dxa" w:w="1498"/>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Owner</w:t>
            </w:r>
          </w:p>
        </w:tc>
        <w:tc>
          <w:tcPr>
            <w:tcW w:type="dxa" w:w="2246"/>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Evidence produced</w:t>
            </w:r>
          </w:p>
        </w:tc>
      </w:tr>
      <w:tr>
        <w:trPr>
          <w:cantSplit/>
        </w:trPr>
        <w:tc>
          <w:tcPr>
            <w:tcW w:type="dxa" w:w="2246"/>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RMAN to an immutable Blob container (BlobFuse2, managed identity)</w:t>
            </w:r>
          </w:p>
        </w:tc>
        <w:tc>
          <w:tcPr>
            <w:tcW w:type="dxa" w:w="3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Backups land in storage the platform refuses to alter for 35 days</w:t>
            </w:r>
          </w:p>
        </w:tc>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DBAs write; storage administrators own the container</w:t>
            </w:r>
          </w:p>
        </w:tc>
        <w:tc>
          <w:tcPr>
            <w:tcW w:type="dxa" w:w="2246"/>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RMAN logs; container policy state</w:t>
            </w:r>
          </w:p>
        </w:tc>
      </w:tr>
      <w:tr>
        <w:trPr>
          <w:cantSplit/>
        </w:trPr>
        <w:tc>
          <w:tcPr>
            <w:tcW w:type="dxa" w:w="2246"/>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Container-level WORM, locked</w:t>
            </w:r>
          </w:p>
        </w:tc>
        <w:tc>
          <w:tcPr>
            <w:tcW w:type="dxa" w:w="337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No overwrite or delete until expiry; account cannot be deleted</w:t>
            </w:r>
          </w:p>
        </w:tc>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Security holds the lock decision</w:t>
            </w:r>
          </w:p>
        </w:tc>
        <w:tc>
          <w:tcPr>
            <w:tcW w:type="dxa" w:w="2246"/>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Policy audit log</w:t>
            </w:r>
          </w:p>
        </w:tc>
      </w:tr>
      <w:tr>
        <w:trPr>
          <w:cantSplit/>
        </w:trPr>
        <w:tc>
          <w:tcPr>
            <w:tcW w:type="dxa" w:w="2246"/>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Geo-redundant storage plus object replication to a second region</w:t>
            </w:r>
          </w:p>
        </w:tc>
        <w:tc>
          <w:tcPr>
            <w:tcW w:type="dxa" w:w="3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Backups survive a regional loss</w:t>
            </w:r>
          </w:p>
        </w:tc>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Storage administrators</w:t>
            </w:r>
          </w:p>
        </w:tc>
        <w:tc>
          <w:tcPr>
            <w:tcW w:type="dxa" w:w="2246"/>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Replication status</w:t>
            </w:r>
          </w:p>
        </w:tc>
      </w:tr>
      <w:tr>
        <w:trPr>
          <w:cantSplit/>
        </w:trPr>
        <w:tc>
          <w:tcPr>
            <w:tcW w:type="dxa" w:w="2246"/>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Azure Backup for the VMs, immutable vault, enhanced soft delete, MUA</w:t>
            </w:r>
          </w:p>
        </w:tc>
        <w:tc>
          <w:tcPr>
            <w:tcW w:type="dxa" w:w="337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OS and file recovery with controls that hold against a compromised administrator</w:t>
            </w:r>
          </w:p>
        </w:tc>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Protection team; Security owns the Resource Guard</w:t>
            </w:r>
          </w:p>
        </w:tc>
        <w:tc>
          <w:tcPr>
            <w:tcW w:type="dxa" w:w="2246"/>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Backup jobs; security alerts</w:t>
            </w:r>
          </w:p>
        </w:tc>
      </w:tr>
      <w:tr>
        <w:trPr>
          <w:cantSplit/>
        </w:trPr>
        <w:tc>
          <w:tcPr>
            <w:tcW w:type="dxa" w:w="2246"/>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Weekly automated restore to an isolated environment</w:t>
            </w:r>
          </w:p>
        </w:tc>
        <w:tc>
          <w:tcPr>
            <w:tcW w:type="dxa" w:w="3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Proof the backup is usable; measured RTO</w:t>
            </w:r>
          </w:p>
        </w:tc>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DBAs</w:t>
            </w:r>
          </w:p>
        </w:tc>
        <w:tc>
          <w:tcPr>
            <w:tcW w:type="dxa" w:w="2246"/>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Control totals compared with finance; restore time</w:t>
            </w:r>
          </w:p>
        </w:tc>
      </w:tr>
    </w:tbl>
    <w:p>
      <w:pPr>
        <w:spacing w:after="120"/>
      </w:pPr>
    </w:p>
    <w:p>
      <w:pPr>
        <w:pStyle w:val="Heading1"/>
        <w:spacing w:after="160" w:before="360"/>
      </w:pPr>
      <w:r>
        <w:rPr>
          <w:rFonts w:ascii="Calibri" w:cs="Calibri" w:eastAsia="Calibri" w:hAnsi="Calibri"/>
          <w:b/>
          <w:bCs/>
          <w:color w:val="7A0019"/>
          <w:sz w:val="32"/>
          <w:szCs w:val="32"/>
        </w:rPr>
        <w:t xml:space="preserve">6. Cost</w:t>
      </w:r>
    </w:p>
    <w:p>
      <w:pPr>
        <w:spacing w:after="140" w:line="276"/>
      </w:pPr>
      <w:r>
        <w:rPr>
          <w:rFonts w:ascii="Calibri" w:cs="Calibri" w:eastAsia="Calibri" w:hAnsi="Calibri"/>
          <w:i/>
          <w:iCs/>
          <w:color w:val="595959"/>
          <w:sz w:val="20"/>
          <w:szCs w:val="20"/>
        </w:rPr>
        <w:t xml:space="preserve">Guidance: one-time and monthly; name the cost model sheet each number came from; flag illustrative prices. Show the cost of the alternative (doing nothing) in the same units.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744"/>
        <w:gridCol w:w="1498"/>
        <w:gridCol w:w="1498"/>
        <w:gridCol w:w="2621"/>
      </w:tblGrid>
      <w:tr>
        <w:trPr>
          <w:tblHeader/>
        </w:trPr>
        <w:tc>
          <w:tcPr>
            <w:tcW w:type="dxa" w:w="374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Line</w:t>
            </w:r>
          </w:p>
        </w:tc>
        <w:tc>
          <w:tcPr>
            <w:tcW w:type="dxa" w:w="1498"/>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One-time</w:t>
            </w:r>
          </w:p>
        </w:tc>
        <w:tc>
          <w:tcPr>
            <w:tcW w:type="dxa" w:w="1498"/>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Monthly</w:t>
            </w:r>
          </w:p>
        </w:tc>
        <w:tc>
          <w:tcPr>
            <w:tcW w:type="dxa" w:w="2621"/>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Source</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Engineering: target account, policies, BlobFuse2, pipelines</w:t>
            </w:r>
          </w:p>
        </w:tc>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4 weeks</w:t>
            </w:r>
          </w:p>
        </w:tc>
        <w:tc>
          <w:tcPr>
            <w:tcW w:type="dxa" w:w="1498"/>
            <w:tcMar>
              <w:top w:type="dxa" w:w="70"/>
              <w:left w:type="dxa" w:w="100"/>
              <w:bottom w:type="dxa" w:w="70"/>
              <w:right w:type="dxa" w:w="100"/>
            </w:tcMar>
            <w:vAlign w:val="top"/>
          </w:tcPr>
          <w:p>
            <w:pPr>
              <w:spacing w:after="40" w:line="252"/>
            </w:pPr>
          </w:p>
        </w:tc>
        <w:tc>
          <w:tcPr>
            <w:tcW w:type="dxa" w:w="2621"/>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Estimate</w:t>
            </w:r>
          </w:p>
        </w:tc>
      </w:tr>
      <w:tr>
        <w:trPr>
          <w:cantSplit/>
        </w:trPr>
        <w:tc>
          <w:tcPr>
            <w:tcW w:type="dxa" w:w="3744"/>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Immutable Blob capacity for the ERP and identity backups (about 20 TB in Cool, GZRS)</w:t>
            </w:r>
          </w:p>
        </w:tc>
        <w:tc>
          <w:tcPr>
            <w:tcW w:type="dxa" w:w="1498"/>
            <w:shd w:fill="F3F3F3" w:color="auto" w:val="clear"/>
            <w:tcMar>
              <w:top w:type="dxa" w:w="70"/>
              <w:left w:type="dxa" w:w="100"/>
              <w:bottom w:type="dxa" w:w="70"/>
              <w:right w:type="dxa" w:w="100"/>
            </w:tcMar>
            <w:vAlign w:val="top"/>
          </w:tcPr>
          <w:p>
            <w:pPr>
              <w:spacing w:after="40" w:line="252"/>
            </w:pPr>
          </w:p>
        </w:tc>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about 450 USD</w:t>
            </w:r>
          </w:p>
        </w:tc>
        <w:tc>
          <w:tcPr>
            <w:tcW w:type="dxa" w:w="2621"/>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Cost model, illustrative</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Second-region copy (object replication to Archive at the destination)</w:t>
            </w:r>
          </w:p>
        </w:tc>
        <w:tc>
          <w:tcPr>
            <w:tcW w:type="dxa" w:w="1498"/>
            <w:tcMar>
              <w:top w:type="dxa" w:w="70"/>
              <w:left w:type="dxa" w:w="100"/>
              <w:bottom w:type="dxa" w:w="70"/>
              <w:right w:type="dxa" w:w="100"/>
            </w:tcMar>
            <w:vAlign w:val="top"/>
          </w:tcPr>
          <w:p>
            <w:pPr>
              <w:spacing w:after="40" w:line="252"/>
            </w:pPr>
          </w:p>
        </w:tc>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about 60 USD</w:t>
            </w:r>
          </w:p>
        </w:tc>
        <w:tc>
          <w:tcPr>
            <w:tcW w:type="dxa" w:w="2621"/>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Cost model, EgressAndCopies</w:t>
            </w:r>
          </w:p>
        </w:tc>
      </w:tr>
      <w:tr>
        <w:trPr>
          <w:cantSplit/>
        </w:trPr>
        <w:tc>
          <w:tcPr>
            <w:tcW w:type="dxa" w:w="3744"/>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Azure Backup for six VMs (instance fees plus vault storage, GRS)</w:t>
            </w:r>
          </w:p>
        </w:tc>
        <w:tc>
          <w:tcPr>
            <w:tcW w:type="dxa" w:w="1498"/>
            <w:shd w:fill="F3F3F3" w:color="auto" w:val="clear"/>
            <w:tcMar>
              <w:top w:type="dxa" w:w="70"/>
              <w:left w:type="dxa" w:w="100"/>
              <w:bottom w:type="dxa" w:w="70"/>
              <w:right w:type="dxa" w:w="100"/>
            </w:tcMar>
            <w:vAlign w:val="top"/>
          </w:tcPr>
          <w:p>
            <w:pPr>
              <w:spacing w:after="40" w:line="252"/>
            </w:pPr>
          </w:p>
        </w:tc>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about 700 USD</w:t>
            </w:r>
          </w:p>
        </w:tc>
        <w:tc>
          <w:tcPr>
            <w:tcW w:type="dxa" w:w="2621"/>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Cost model, BackupRetention</w:t>
            </w: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Weekly restore environment (DR VM deallocated between tests)</w:t>
            </w:r>
          </w:p>
        </w:tc>
        <w:tc>
          <w:tcPr>
            <w:tcW w:type="dxa" w:w="1498"/>
            <w:tcMar>
              <w:top w:type="dxa" w:w="70"/>
              <w:left w:type="dxa" w:w="100"/>
              <w:bottom w:type="dxa" w:w="70"/>
              <w:right w:type="dxa" w:w="100"/>
            </w:tcMar>
            <w:vAlign w:val="top"/>
          </w:tcPr>
          <w:p>
            <w:pPr>
              <w:spacing w:after="40" w:line="252"/>
            </w:pPr>
          </w:p>
        </w:tc>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about 200 USD</w:t>
            </w:r>
          </w:p>
        </w:tc>
        <w:tc>
          <w:tcPr>
            <w:tcW w:type="dxa" w:w="2621"/>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Estimate</w:t>
            </w:r>
          </w:p>
        </w:tc>
      </w:tr>
      <w:tr>
        <w:trPr>
          <w:cantSplit/>
        </w:trPr>
        <w:tc>
          <w:tcPr>
            <w:tcW w:type="dxa" w:w="3744"/>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Total run cost</w:t>
            </w:r>
          </w:p>
        </w:tc>
        <w:tc>
          <w:tcPr>
            <w:tcW w:type="dxa" w:w="1498"/>
            <w:shd w:fill="F3F3F3" w:color="auto" w:val="clear"/>
            <w:tcMar>
              <w:top w:type="dxa" w:w="70"/>
              <w:left w:type="dxa" w:w="100"/>
              <w:bottom w:type="dxa" w:w="70"/>
              <w:right w:type="dxa" w:w="100"/>
            </w:tcMar>
            <w:vAlign w:val="top"/>
          </w:tcPr>
          <w:p>
            <w:pPr>
              <w:spacing w:after="40" w:line="252"/>
            </w:pPr>
          </w:p>
        </w:tc>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about 1,400 USD</w:t>
            </w:r>
          </w:p>
        </w:tc>
        <w:tc>
          <w:tcPr>
            <w:tcW w:type="dxa" w:w="2621"/>
            <w:shd w:fill="F3F3F3" w:color="auto" w:val="clear"/>
            <w:tcMar>
              <w:top w:type="dxa" w:w="70"/>
              <w:left w:type="dxa" w:w="100"/>
              <w:bottom w:type="dxa" w:w="70"/>
              <w:right w:type="dxa" w:w="100"/>
            </w:tcMar>
            <w:vAlign w:val="top"/>
          </w:tcPr>
          <w:p>
            <w:pPr>
              <w:spacing w:after="40" w:line="252"/>
            </w:pPr>
          </w:p>
        </w:tc>
      </w:tr>
      <w:tr>
        <w:trPr>
          <w:cantSplit/>
        </w:trPr>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Cost of the alternative: one day of ERP outage (payroll, registration, procurement halted)</w:t>
            </w:r>
          </w:p>
        </w:tc>
        <w:tc>
          <w:tcPr>
            <w:tcW w:type="dxa" w:w="1498"/>
            <w:tcMar>
              <w:top w:type="dxa" w:w="70"/>
              <w:left w:type="dxa" w:w="100"/>
              <w:bottom w:type="dxa" w:w="70"/>
              <w:right w:type="dxa" w:w="100"/>
            </w:tcMar>
            <w:vAlign w:val="top"/>
          </w:tcPr>
          <w:p>
            <w:pPr>
              <w:spacing w:after="40" w:line="252"/>
            </w:pPr>
          </w:p>
        </w:tc>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orders of magnitude larger</w:t>
            </w:r>
          </w:p>
        </w:tc>
        <w:tc>
          <w:tcPr>
            <w:tcW w:type="dxa" w:w="2621"/>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Finance to quantify</w:t>
            </w:r>
          </w:p>
        </w:tc>
      </w:tr>
    </w:tbl>
    <w:p>
      <w:pPr>
        <w:spacing w:after="120"/>
      </w:pPr>
    </w:p>
    <w:p>
      <w:pPr>
        <w:pStyle w:val="Heading1"/>
        <w:spacing w:after="160" w:before="360"/>
      </w:pPr>
      <w:r>
        <w:rPr>
          <w:rFonts w:ascii="Calibri" w:cs="Calibri" w:eastAsia="Calibri" w:hAnsi="Calibri"/>
          <w:b/>
          <w:bCs/>
          <w:color w:val="7A0019"/>
          <w:sz w:val="32"/>
          <w:szCs w:val="32"/>
        </w:rPr>
        <w:t xml:space="preserve">7. Options and trade-offs</w:t>
      </w:r>
    </w:p>
    <w:p>
      <w:pPr>
        <w:spacing w:after="140" w:line="276"/>
      </w:pPr>
      <w:r>
        <w:rPr>
          <w:rFonts w:ascii="Calibri" w:cs="Calibri" w:eastAsia="Calibri" w:hAnsi="Calibri"/>
          <w:i/>
          <w:iCs/>
          <w:color w:val="595959"/>
          <w:sz w:val="20"/>
          <w:szCs w:val="20"/>
        </w:rPr>
        <w:t xml:space="preserve">Guidance: at least two options beyond the recommendation. State what each gives up.</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72"/>
        <w:gridCol w:w="3744"/>
        <w:gridCol w:w="2246"/>
        <w:gridCol w:w="1498"/>
      </w:tblGrid>
      <w:tr>
        <w:trPr>
          <w:tblHeader/>
        </w:trPr>
        <w:tc>
          <w:tcPr>
            <w:tcW w:type="dxa" w:w="1872"/>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Option</w:t>
            </w:r>
          </w:p>
        </w:tc>
        <w:tc>
          <w:tcPr>
            <w:tcW w:type="dxa" w:w="374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Description</w:t>
            </w:r>
          </w:p>
        </w:tc>
        <w:tc>
          <w:tcPr>
            <w:tcW w:type="dxa" w:w="2246"/>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Gives up</w:t>
            </w:r>
          </w:p>
        </w:tc>
        <w:tc>
          <w:tcPr>
            <w:tcW w:type="dxa" w:w="1498"/>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Monthly cost</w:t>
            </w:r>
          </w:p>
        </w:tc>
      </w:tr>
      <w:tr>
        <w:trPr>
          <w:cantSplit/>
        </w:trPr>
        <w:tc>
          <w:tcPr>
            <w:tcW w:type="dxa" w:w="187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 Minimum</w:t>
            </w:r>
          </w:p>
        </w:tc>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Immutable Blob target for RMAN, no second region, VM backup without MUA</w:t>
            </w:r>
          </w:p>
        </w:tc>
        <w:tc>
          <w:tcPr>
            <w:tcW w:type="dxa" w:w="2246"/>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Regional resilience; separation of duties on the vault</w:t>
            </w:r>
          </w:p>
        </w:tc>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about 800 USD</w:t>
            </w:r>
          </w:p>
        </w:tc>
      </w:tr>
      <w:tr>
        <w:trPr>
          <w:cantSplit/>
        </w:trPr>
        <w:tc>
          <w:tcPr>
            <w:tcW w:type="dxa" w:w="1872"/>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 Recommended</w:t>
            </w:r>
          </w:p>
        </w:tc>
        <w:tc>
          <w:tcPr>
            <w:tcW w:type="dxa" w:w="3744"/>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As section 5</w:t>
            </w:r>
          </w:p>
        </w:tc>
        <w:tc>
          <w:tcPr>
            <w:tcW w:type="dxa" w:w="2246"/>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Nothing in scope; relies on weekly rehearsal discipline</w:t>
            </w:r>
          </w:p>
        </w:tc>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about 1,400 USD</w:t>
            </w:r>
          </w:p>
        </w:tc>
      </w:tr>
      <w:tr>
        <w:trPr>
          <w:cantSplit/>
        </w:trPr>
        <w:tc>
          <w:tcPr>
            <w:tcW w:type="dxa" w:w="187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 Extended</w:t>
            </w:r>
          </w:p>
        </w:tc>
        <w:tc>
          <w:tcPr>
            <w:tcW w:type="dxa" w:w="3744"/>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 plus Data Guard standby in the paired region and Oracle AI Database@Azure evaluation</w:t>
            </w:r>
          </w:p>
        </w:tc>
        <w:tc>
          <w:tcPr>
            <w:tcW w:type="dxa" w:w="2246"/>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Budget and licensing review time</w:t>
            </w:r>
          </w:p>
        </w:tc>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about 1,400 USD plus standby compute</w:t>
            </w:r>
          </w:p>
        </w:tc>
      </w:tr>
    </w:tbl>
    <w:p>
      <w:pPr>
        <w:spacing w:after="120"/>
      </w:pPr>
    </w:p>
    <w:p>
      <w:pPr>
        <w:pStyle w:val="Heading1"/>
        <w:spacing w:after="160" w:before="360"/>
      </w:pPr>
      <w:r>
        <w:rPr>
          <w:rFonts w:ascii="Calibri" w:cs="Calibri" w:eastAsia="Calibri" w:hAnsi="Calibri"/>
          <w:b/>
          <w:bCs/>
          <w:color w:val="7A0019"/>
          <w:sz w:val="32"/>
          <w:szCs w:val="32"/>
        </w:rPr>
        <w:t xml:space="preserve">8. Risks and dependencies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370"/>
        <w:gridCol w:w="4118"/>
        <w:gridCol w:w="1872"/>
      </w:tblGrid>
      <w:tr>
        <w:trPr>
          <w:tblHeader/>
        </w:trPr>
        <w:tc>
          <w:tcPr>
            <w:tcW w:type="dxa" w:w="337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Risk or dependency</w:t>
            </w:r>
          </w:p>
        </w:tc>
        <w:tc>
          <w:tcPr>
            <w:tcW w:type="dxa" w:w="4118"/>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Mitigation</w:t>
            </w:r>
          </w:p>
        </w:tc>
        <w:tc>
          <w:tcPr>
            <w:tcW w:type="dxa" w:w="1872"/>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Owner</w:t>
            </w:r>
          </w:p>
        </w:tc>
      </w:tr>
      <w:tr>
        <w:trPr>
          <w:cantSplit/>
        </w:trPr>
        <w:tc>
          <w:tcPr>
            <w:tcW w:type="dxa" w:w="3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Lock applied at the wrong scope or interval</w:t>
            </w:r>
          </w:p>
        </w:tc>
        <w:tc>
          <w:tcPr>
            <w:tcW w:type="dxa" w:w="411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Unlocked validation period; lock as a change-controlled Security action</w:t>
            </w:r>
          </w:p>
        </w:tc>
        <w:tc>
          <w:tcPr>
            <w:tcW w:type="dxa" w:w="187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Security</w:t>
            </w:r>
          </w:p>
        </w:tc>
      </w:tr>
      <w:tr>
        <w:trPr>
          <w:cantSplit/>
        </w:trPr>
        <w:tc>
          <w:tcPr>
            <w:tcW w:type="dxa" w:w="337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RMAN retention shorter than the WORM interval</w:t>
            </w:r>
          </w:p>
        </w:tc>
        <w:tc>
          <w:tcPr>
            <w:tcW w:type="dxa" w:w="411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Retention aligned in the RMAN configuration and reviewed quarterly</w:t>
            </w:r>
          </w:p>
        </w:tc>
        <w:tc>
          <w:tcPr>
            <w:tcW w:type="dxa" w:w="1872"/>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DBAs</w:t>
            </w:r>
          </w:p>
        </w:tc>
      </w:tr>
      <w:tr>
        <w:trPr>
          <w:cantSplit/>
        </w:trPr>
        <w:tc>
          <w:tcPr>
            <w:tcW w:type="dxa" w:w="3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Managed identity loses its role on the target</w:t>
            </w:r>
          </w:p>
        </w:tc>
        <w:tc>
          <w:tcPr>
            <w:tcW w:type="dxa" w:w="411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Backup job failure alerts; the failure is visible, not silent</w:t>
            </w:r>
          </w:p>
        </w:tc>
        <w:tc>
          <w:tcPr>
            <w:tcW w:type="dxa" w:w="187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Protection team</w:t>
            </w:r>
          </w:p>
        </w:tc>
      </w:tr>
      <w:tr>
        <w:trPr>
          <w:cantSplit/>
        </w:trPr>
        <w:tc>
          <w:tcPr>
            <w:tcW w:type="dxa" w:w="337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Oracle licensing on Azure VMs</w:t>
            </w:r>
          </w:p>
        </w:tc>
        <w:tc>
          <w:tcPr>
            <w:tcW w:type="dxa" w:w="411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Confirm with the Oracle account team before migration</w:t>
            </w:r>
          </w:p>
        </w:tc>
        <w:tc>
          <w:tcPr>
            <w:tcW w:type="dxa" w:w="1872"/>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Procurement</w:t>
            </w:r>
          </w:p>
        </w:tc>
      </w:tr>
      <w:tr>
        <w:trPr>
          <w:cantSplit/>
        </w:trPr>
        <w:tc>
          <w:tcPr>
            <w:tcW w:type="dxa" w:w="3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Restore rehearsals skipped under pressure</w:t>
            </w:r>
          </w:p>
        </w:tc>
        <w:tc>
          <w:tcPr>
            <w:tcW w:type="dxa" w:w="411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Automated weekly test; the quarterly report to leadership is the forcing function</w:t>
            </w:r>
          </w:p>
        </w:tc>
        <w:tc>
          <w:tcPr>
            <w:tcW w:type="dxa" w:w="187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CIO</w:t>
            </w:r>
          </w:p>
        </w:tc>
      </w:tr>
    </w:tbl>
    <w:p>
      <w:pPr>
        <w:spacing w:after="120"/>
      </w:pPr>
    </w:p>
    <w:p>
      <w:pPr>
        <w:pStyle w:val="Heading1"/>
        <w:spacing w:after="160" w:before="360"/>
      </w:pPr>
      <w:r>
        <w:rPr>
          <w:rFonts w:ascii="Calibri" w:cs="Calibri" w:eastAsia="Calibri" w:hAnsi="Calibri"/>
          <w:b/>
          <w:bCs/>
          <w:color w:val="7A0019"/>
          <w:sz w:val="32"/>
          <w:szCs w:val="32"/>
        </w:rPr>
        <w:t xml:space="preserve">9. Decisions requested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370"/>
        <w:gridCol w:w="3182"/>
        <w:gridCol w:w="1498"/>
        <w:gridCol w:w="1310"/>
      </w:tblGrid>
      <w:tr>
        <w:trPr>
          <w:tblHeader/>
        </w:trPr>
        <w:tc>
          <w:tcPr>
            <w:tcW w:type="dxa" w:w="337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Decision</w:t>
            </w:r>
          </w:p>
        </w:tc>
        <w:tc>
          <w:tcPr>
            <w:tcW w:type="dxa" w:w="3182"/>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Recommendation</w:t>
            </w:r>
          </w:p>
        </w:tc>
        <w:tc>
          <w:tcPr>
            <w:tcW w:type="dxa" w:w="1498"/>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Owner</w:t>
            </w:r>
          </w:p>
        </w:tc>
        <w:tc>
          <w:tcPr>
            <w:tcW w:type="dxa" w:w="131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Needed by</w:t>
            </w:r>
          </w:p>
        </w:tc>
      </w:tr>
      <w:tr>
        <w:trPr>
          <w:cantSplit/>
        </w:trPr>
        <w:tc>
          <w:tcPr>
            <w:tcW w:type="dxa" w:w="3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Protection subscription and Resource Guard ownership</w:t>
            </w:r>
          </w:p>
        </w:tc>
        <w:tc>
          <w:tcPr>
            <w:tcW w:type="dxa" w:w="318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Security</w:t>
            </w:r>
          </w:p>
        </w:tc>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CISO</w:t>
            </w:r>
          </w:p>
        </w:tc>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Month 2</w:t>
            </w:r>
          </w:p>
        </w:tc>
      </w:tr>
      <w:tr>
        <w:trPr>
          <w:cantSplit/>
        </w:trPr>
        <w:tc>
          <w:tcPr>
            <w:tcW w:type="dxa" w:w="337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Retention classes and lock authority</w:t>
            </w:r>
          </w:p>
        </w:tc>
        <w:tc>
          <w:tcPr>
            <w:tcW w:type="dxa" w:w="3182"/>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Records office with stewards; Security executes</w:t>
            </w:r>
          </w:p>
        </w:tc>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VP Research with General Counsel</w:t>
            </w:r>
          </w:p>
        </w:tc>
        <w:tc>
          <w:tcPr>
            <w:tcW w:type="dxa" w:w="131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Month 3</w:t>
            </w:r>
          </w:p>
        </w:tc>
      </w:tr>
      <w:tr>
        <w:trPr>
          <w:cantSplit/>
        </w:trPr>
        <w:tc>
          <w:tcPr>
            <w:tcW w:type="dxa" w:w="337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Rehearsal cadence and evidence audience</w:t>
            </w:r>
          </w:p>
        </w:tc>
        <w:tc>
          <w:tcPr>
            <w:tcW w:type="dxa" w:w="318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Weekly automated, quarterly rehearsed; report to CIO and audit committee</w:t>
            </w:r>
          </w:p>
        </w:tc>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CIO</w:t>
            </w:r>
          </w:p>
        </w:tc>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Month 3</w:t>
            </w:r>
          </w:p>
        </w:tc>
      </w:tr>
      <w:tr>
        <w:trPr>
          <w:cantSplit/>
        </w:trPr>
        <w:tc>
          <w:tcPr>
            <w:tcW w:type="dxa" w:w="337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Option selection</w:t>
            </w:r>
          </w:p>
        </w:tc>
        <w:tc>
          <w:tcPr>
            <w:tcW w:type="dxa" w:w="3182"/>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 now, C evaluated in Phase 3</w:t>
            </w:r>
          </w:p>
        </w:tc>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CIO</w:t>
            </w:r>
          </w:p>
        </w:tc>
        <w:tc>
          <w:tcPr>
            <w:tcW w:type="dxa" w:w="131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Month 1</w:t>
            </w:r>
          </w:p>
        </w:tc>
      </w:tr>
    </w:tbl>
    <w:p>
      <w:pPr>
        <w:spacing w:after="120"/>
      </w:pPr>
    </w:p>
    <w:p>
      <w:pPr>
        <w:pStyle w:val="Heading1"/>
        <w:spacing w:after="160" w:before="360"/>
      </w:pPr>
      <w:r>
        <w:rPr>
          <w:rFonts w:ascii="Calibri" w:cs="Calibri" w:eastAsia="Calibri" w:hAnsi="Calibri"/>
          <w:b/>
          <w:bCs/>
          <w:color w:val="7A0019"/>
          <w:sz w:val="32"/>
          <w:szCs w:val="32"/>
        </w:rPr>
        <w:t xml:space="preserve">10. Evidence plan</w:t>
      </w:r>
    </w:p>
    <w:p>
      <w:pPr>
        <w:spacing w:after="140" w:line="276"/>
      </w:pPr>
      <w:r>
        <w:rPr>
          <w:rFonts w:ascii="Calibri" w:cs="Calibri" w:eastAsia="Calibri" w:hAnsi="Calibri"/>
          <w:i/>
          <w:iCs/>
          <w:color w:val="595959"/>
          <w:sz w:val="20"/>
          <w:szCs w:val="20"/>
        </w:rPr>
        <w:t xml:space="preserve">Guidance: what will be shown, when, and to whom. The first report date is a commitment.</w:t>
      </w:r>
    </w:p>
    <w:p>
      <w:pPr>
        <w:pStyle w:val="ListParagraph"/>
        <w:numPr>
          <w:ilvl w:val="0"/>
          <w:numId w:val="2"/>
        </w:numPr>
        <w:spacing w:after="90" w:line="264"/>
      </w:pPr>
      <w:r>
        <w:rPr>
          <w:rFonts w:ascii="Calibri" w:cs="Calibri" w:eastAsia="Calibri" w:hAnsi="Calibri"/>
          <w:sz w:val="22"/>
          <w:szCs w:val="22"/>
        </w:rPr>
        <w:t xml:space="preserve">Week 1 after go-live: screenshot of the locked policy and the vault settings; first automated restore log.</w:t>
      </w:r>
    </w:p>
    <w:p>
      <w:pPr>
        <w:pStyle w:val="ListParagraph"/>
        <w:numPr>
          <w:ilvl w:val="0"/>
          <w:numId w:val="2"/>
        </w:numPr>
        <w:spacing w:after="90" w:line="264"/>
      </w:pPr>
      <w:r>
        <w:rPr>
          <w:rFonts w:ascii="Calibri" w:cs="Calibri" w:eastAsia="Calibri" w:hAnsi="Calibri"/>
          <w:sz w:val="22"/>
          <w:szCs w:val="22"/>
        </w:rPr>
        <w:t xml:space="preserve">Monthly: restore test results with control totals reconciled against finance; measured restore time against the 4-hour target.</w:t>
      </w:r>
    </w:p>
    <w:p>
      <w:pPr>
        <w:pStyle w:val="ListParagraph"/>
        <w:numPr>
          <w:ilvl w:val="0"/>
          <w:numId w:val="2"/>
        </w:numPr>
        <w:spacing w:after="90" w:line="264"/>
      </w:pPr>
      <w:r>
        <w:rPr>
          <w:rFonts w:ascii="Calibri" w:cs="Calibri" w:eastAsia="Calibri" w:hAnsi="Calibri"/>
          <w:sz w:val="22"/>
          <w:szCs w:val="22"/>
        </w:rPr>
        <w:t xml:space="preserve">Quarterly: full recovery rehearsal with the application tier; runbook revision; report to the CIO and the audit committee.</w:t>
      </w:r>
    </w:p>
    <w:p>
      <w:pPr>
        <w:pStyle w:val="ListParagraph"/>
        <w:numPr>
          <w:ilvl w:val="0"/>
          <w:numId w:val="2"/>
        </w:numPr>
        <w:spacing w:after="90" w:line="264"/>
      </w:pPr>
      <w:r>
        <w:rPr>
          <w:rFonts w:ascii="Calibri" w:cs="Calibri" w:eastAsia="Calibri" w:hAnsi="Calibri"/>
          <w:sz w:val="22"/>
          <w:szCs w:val="22"/>
        </w:rPr>
        <w:t xml:space="preserve">Annually: review of retention classes, reservation renewals, and the option C evaluation.</w:t>
      </w:r>
    </w:p>
    <w:p>
      <w:pPr>
        <w:pStyle w:val="Heading1"/>
        <w:spacing w:after="160" w:before="360"/>
      </w:pPr>
      <w:r>
        <w:rPr>
          <w:rFonts w:ascii="Calibri" w:cs="Calibri" w:eastAsia="Calibri" w:hAnsi="Calibri"/>
          <w:b/>
          <w:bCs/>
          <w:color w:val="7A0019"/>
          <w:sz w:val="32"/>
          <w:szCs w:val="32"/>
        </w:rPr>
        <w:t xml:space="preserve">11. Appendix: control reference for the technical reader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59"/>
        <w:gridCol w:w="1498"/>
        <w:gridCol w:w="1123"/>
        <w:gridCol w:w="2808"/>
        <w:gridCol w:w="1872"/>
      </w:tblGrid>
      <w:tr>
        <w:trPr>
          <w:tblHeader/>
        </w:trPr>
        <w:tc>
          <w:tcPr>
            <w:tcW w:type="dxa" w:w="205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Control</w:t>
            </w:r>
          </w:p>
        </w:tc>
        <w:tc>
          <w:tcPr>
            <w:tcW w:type="dxa" w:w="1498"/>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Scope</w:t>
            </w:r>
          </w:p>
        </w:tc>
        <w:tc>
          <w:tcPr>
            <w:tcW w:type="dxa" w:w="1123"/>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Reversible</w:t>
            </w:r>
          </w:p>
        </w:tc>
        <w:tc>
          <w:tcPr>
            <w:tcW w:type="dxa" w:w="2808"/>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Blocks</w:t>
            </w:r>
          </w:p>
        </w:tc>
        <w:tc>
          <w:tcPr>
            <w:tcW w:type="dxa" w:w="1872"/>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Microsoft Learn</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Immutable vault (enabled)</w:t>
            </w:r>
          </w:p>
        </w:tc>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Recovery Services and Backup vaults</w:t>
            </w:r>
          </w:p>
        </w:tc>
        <w:tc>
          <w:tcPr>
            <w:tcW w:type="dxa" w:w="1123"/>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Yes</w:t>
            </w:r>
          </w:p>
        </w:tc>
        <w:tc>
          <w:tcPr>
            <w:tcW w:type="dxa" w:w="280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Operations that lose recovery points</w:t>
            </w:r>
          </w:p>
        </w:tc>
        <w:tc>
          <w:tcPr>
            <w:tcW w:type="dxa" w:w="187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Immutable vault for Azure Backup</w:t>
            </w:r>
          </w:p>
        </w:tc>
      </w:tr>
      <w:tr>
        <w:trPr>
          <w:cantSplit/>
        </w:trPr>
        <w:tc>
          <w:tcPr>
            <w:tcW w:type="dxa" w:w="2059"/>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Immutable vault (locked)</w:t>
            </w:r>
          </w:p>
        </w:tc>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Same</w:t>
            </w:r>
          </w:p>
        </w:tc>
        <w:tc>
          <w:tcPr>
            <w:tcW w:type="dxa" w:w="1123"/>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No</w:t>
            </w:r>
          </w:p>
        </w:tc>
        <w:tc>
          <w:tcPr>
            <w:tcW w:type="dxa" w:w="280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Same, permanently; vault cannot be deleted</w:t>
            </w:r>
          </w:p>
        </w:tc>
        <w:tc>
          <w:tcPr>
            <w:tcW w:type="dxa" w:w="1872"/>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Same</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Soft delete (standard)</w:t>
            </w:r>
          </w:p>
        </w:tc>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Vaults</w:t>
            </w:r>
          </w:p>
        </w:tc>
        <w:tc>
          <w:tcPr>
            <w:tcW w:type="dxa" w:w="1123"/>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Yes</w:t>
            </w:r>
          </w:p>
        </w:tc>
        <w:tc>
          <w:tcPr>
            <w:tcW w:type="dxa" w:w="280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Purge of deleted data for 14 days</w:t>
            </w:r>
          </w:p>
        </w:tc>
        <w:tc>
          <w:tcPr>
            <w:tcW w:type="dxa" w:w="187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Soft delete for Azure Backup</w:t>
            </w:r>
          </w:p>
        </w:tc>
      </w:tr>
      <w:tr>
        <w:trPr>
          <w:cantSplit/>
        </w:trPr>
        <w:tc>
          <w:tcPr>
            <w:tcW w:type="dxa" w:w="2059"/>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Enhanced soft delete, always on</w:t>
            </w:r>
          </w:p>
        </w:tc>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Vaults</w:t>
            </w:r>
          </w:p>
        </w:tc>
        <w:tc>
          <w:tcPr>
            <w:tcW w:type="dxa" w:w="1123"/>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No</w:t>
            </w:r>
          </w:p>
        </w:tc>
        <w:tc>
          <w:tcPr>
            <w:tcW w:type="dxa" w:w="280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Purge for up to 180 days; cannot be disabled</w:t>
            </w:r>
          </w:p>
        </w:tc>
        <w:tc>
          <w:tcPr>
            <w:tcW w:type="dxa" w:w="1872"/>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Enhanced soft delete</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Multi-user authorization</w:t>
            </w:r>
          </w:p>
        </w:tc>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Vaults linked to a Resource Guard</w:t>
            </w:r>
          </w:p>
        </w:tc>
        <w:tc>
          <w:tcPr>
            <w:tcW w:type="dxa" w:w="1123"/>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Via the guard owner</w:t>
            </w:r>
          </w:p>
        </w:tc>
        <w:tc>
          <w:tcPr>
            <w:tcW w:type="dxa" w:w="280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Critical operations without guard authorization</w:t>
            </w:r>
          </w:p>
        </w:tc>
        <w:tc>
          <w:tcPr>
            <w:tcW w:type="dxa" w:w="187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Multi-user authorization using Resource Guard</w:t>
            </w:r>
          </w:p>
        </w:tc>
      </w:tr>
      <w:tr>
        <w:trPr>
          <w:cantSplit/>
        </w:trPr>
        <w:tc>
          <w:tcPr>
            <w:tcW w:type="dxa" w:w="2059"/>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Container-level WORM (unlocked)</w:t>
            </w:r>
          </w:p>
        </w:tc>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Blob container</w:t>
            </w:r>
          </w:p>
        </w:tc>
        <w:tc>
          <w:tcPr>
            <w:tcW w:type="dxa" w:w="1123"/>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Yes</w:t>
            </w:r>
          </w:p>
        </w:tc>
        <w:tc>
          <w:tcPr>
            <w:tcW w:type="dxa" w:w="280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Blob overwrite and delete during retention</w:t>
            </w:r>
          </w:p>
        </w:tc>
        <w:tc>
          <w:tcPr>
            <w:tcW w:type="dxa" w:w="1872"/>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Immutable storage for Blob</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Container-level WORM (locked)</w:t>
            </w:r>
          </w:p>
        </w:tc>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Blob container</w:t>
            </w:r>
          </w:p>
        </w:tc>
        <w:tc>
          <w:tcPr>
            <w:tcW w:type="dxa" w:w="1123"/>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No</w:t>
            </w:r>
          </w:p>
        </w:tc>
        <w:tc>
          <w:tcPr>
            <w:tcW w:type="dxa" w:w="280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Same, plus storage account deletion</w:t>
            </w:r>
          </w:p>
        </w:tc>
        <w:tc>
          <w:tcPr>
            <w:tcW w:type="dxa" w:w="187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Same</w:t>
            </w:r>
          </w:p>
        </w:tc>
      </w:tr>
      <w:tr>
        <w:trPr>
          <w:cantSplit/>
        </w:trPr>
        <w:tc>
          <w:tcPr>
            <w:tcW w:type="dxa" w:w="2059"/>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Legal hold</w:t>
            </w:r>
          </w:p>
        </w:tc>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Container</w:t>
            </w:r>
          </w:p>
        </w:tc>
        <w:tc>
          <w:tcPr>
            <w:tcW w:type="dxa" w:w="1123"/>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Cleared explicitly</w:t>
            </w:r>
          </w:p>
        </w:tc>
        <w:tc>
          <w:tcPr>
            <w:tcW w:type="dxa" w:w="280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Overwrite and delete until cleared</w:t>
            </w:r>
          </w:p>
        </w:tc>
        <w:tc>
          <w:tcPr>
            <w:tcW w:type="dxa" w:w="1872"/>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Same</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95959"/>
        <w:sz w:val="18"/>
        <w:szCs w:val="18"/>
      </w:rPr>
      <w:t xml:space="preserve">Gamut Technology Services | October 2026</w:t>
    </w:r>
    <w:r>
      <w:rPr>
        <w:rFonts w:ascii="Calibri" w:cs="Calibri" w:eastAsia="Calibri" w:hAnsi="Calibri"/>
        <w:color w:val="595959"/>
        <w:sz w:val="18"/>
        <w:szCs w:val="18"/>
      </w:rPr>
      <w:t xml:space="preserve">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CC33" w:sz="6" w:space="4"/>
      </w:pBdr>
    </w:pPr>
    <w:r>
      <w:rPr>
        <w:rFonts w:ascii="Calibri" w:cs="Calibri" w:eastAsia="Calibri" w:hAnsi="Calibri"/>
        <w:color w:val="595959"/>
        <w:sz w:val="18"/>
        <w:szCs w:val="18"/>
      </w:rPr>
      <w:t xml:space="preserve">Executive Briefing and Business Case Template | University of Minnesota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7A0019"/>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7A0019"/>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Briefing and Business Case Template</dc:title>
  <dc:creator>Gamut Technology Services</dc:creator>
  <cp:lastModifiedBy>Un-named</cp:lastModifiedBy>
  <cp:revision>1</cp:revision>
  <dcterms:created xsi:type="dcterms:W3CDTF">2026-10-15T13:55:28.102Z</dcterms:created>
  <dcterms:modified xsi:type="dcterms:W3CDTF">2026-10-15T13:55:28.102Z</dcterms:modified>
</cp:coreProperties>
</file>

<file path=docProps/custom.xml><?xml version="1.0" encoding="utf-8"?>
<Properties xmlns="http://schemas.openxmlformats.org/officeDocument/2006/custom-properties" xmlns:vt="http://schemas.openxmlformats.org/officeDocument/2006/docPropsVTypes"/>
</file>