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University of Minnesota custom Azure course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7A0019"/>
          <w:sz w:val="48"/>
          <w:szCs w:val="48"/>
        </w:rPr>
        <w:t xml:space="preserve">Hybrid Data Platform Roadmap Template</w:t>
      </w:r>
    </w:p>
    <w:p>
      <w:pPr>
        <w:spacing w:after="120"/>
      </w:pPr>
      <w:r>
        <w:rPr>
          <w:rFonts w:ascii="Calibri" w:cs="Calibri" w:eastAsia="Calibri" w:hAnsi="Calibri"/>
          <w:color w:val="595959"/>
          <w:sz w:val="30"/>
          <w:szCs w:val="30"/>
        </w:rPr>
        <w:t xml:space="preserve">Capstone workbook for Session 6</w:t>
      </w:r>
    </w:p>
    <w:p>
      <w:pPr>
        <w:pBdr>
          <w:bottom w:val="single" w:color="FFCC33" w:sz="12" w:space="8"/>
        </w:pBdr>
        <w:spacing w:after="360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Azure Storage, Data Protection, and Resilience at Scale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Used in: </w:t>
      </w:r>
      <w:r>
        <w:rPr>
          <w:rFonts w:ascii="Calibri" w:cs="Calibri" w:eastAsia="Calibri" w:hAnsi="Calibri"/>
          <w:sz w:val="22"/>
          <w:szCs w:val="22"/>
        </w:rPr>
        <w:t xml:space="preserve">Session 6, Block 3 (105 minutes): capstone roadmap workshop and presentations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Audience: </w:t>
      </w:r>
      <w:r>
        <w:rPr>
          <w:rFonts w:ascii="Calibri" w:cs="Calibri" w:eastAsia="Calibri" w:hAnsi="Calibri"/>
          <w:sz w:val="22"/>
          <w:szCs w:val="22"/>
        </w:rPr>
        <w:t xml:space="preserve">Course attendees, working as one team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sz w:val="22"/>
          <w:szCs w:val="22"/>
        </w:rPr>
        <w:t xml:space="preserve">The completed Part A, presented at minute 80 and sent to the team lead within a week</w:t>
      </w:r>
    </w:p>
    <w:p>
      <w:pPr>
        <w:spacing w:before="40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 template is written for the University of Minnesota storage, data management, protection, and database teams. Replace the example text; keep the structure.</w:t>
      </w:r>
    </w:p>
    <w:p>
      <w:r>
        <w:br w:type="page"/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7A001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tabs>
              <w:tab w:val="right" w:leader="dot" w:pos="9350"/>
            </w:tabs>
            <w:spacing w:before="100" w:after="40"/>
            <w:ind w:left="0"/>
          </w:pPr>
          <w:r>
            <w:rPr>
              <w:rFonts w:ascii="Calibri" w:cs="Calibri" w:eastAsia="Calibri" w:hAnsi="Calibri"/>
              <w:b/>
              <w:bCs/>
              <w:sz w:val="22"/>
              <w:szCs w:val="22"/>
            </w:rPr>
            <w:t xml:space="preserve">How to use this template</w:t>
          </w:r>
          <w:r>
            <w:rPr>
              <w:rFonts w:ascii="Calibri" w:cs="Calibri" w:eastAsia="Calibri" w:hAnsi="Calibri"/>
              <w:b/>
              <w:bCs/>
              <w:sz w:val="22"/>
              <w:szCs w:val="22"/>
            </w:rPr>
            <w:tab/>
            <w:t>3</w:t>
          </w:r>
        </w:p>
        <w:p>
          <w:pPr>
            <w:tabs>
              <w:tab w:val="right" w:leader="dot" w:pos="9350"/>
            </w:tabs>
            <w:spacing w:before="0" w:after="4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The shape of the capstone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3</w:t>
          </w:r>
        </w:p>
        <w:p>
          <w:pPr>
            <w:tabs>
              <w:tab w:val="right" w:leader="dot" w:pos="9350"/>
            </w:tabs>
            <w:spacing w:before="0" w:after="4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The six capstone inputs and where they come from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3</w:t>
          </w:r>
        </w:p>
        <w:p>
          <w:pPr>
            <w:tabs>
              <w:tab w:val="right" w:leader="dot" w:pos="9350"/>
            </w:tabs>
            <w:spacing w:before="0" w:after="4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What good looks like, section by section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4</w:t>
          </w:r>
        </w:p>
        <w:p>
          <w:pPr>
            <w:tabs>
              <w:tab w:val="right" w:leader="dot" w:pos="9350"/>
            </w:tabs>
            <w:spacing w:before="0" w:after="4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Writing for leadership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5</w:t>
          </w:r>
        </w:p>
        <w:p>
          <w:pPr>
            <w:tabs>
              <w:tab w:val="right" w:leader="dot" w:pos="9350"/>
            </w:tabs>
            <w:spacing w:before="100" w:after="40"/>
            <w:ind w:left="0"/>
          </w:pPr>
          <w:r>
            <w:rPr>
              <w:rFonts w:ascii="Calibri" w:cs="Calibri" w:eastAsia="Calibri" w:hAnsi="Calibri"/>
              <w:b/>
              <w:bCs/>
              <w:sz w:val="22"/>
              <w:szCs w:val="22"/>
            </w:rPr>
            <w:t xml:space="preserve">Part A: the roadmap template</w:t>
          </w:r>
          <w:r>
            <w:rPr>
              <w:rFonts w:ascii="Calibri" w:cs="Calibri" w:eastAsia="Calibri" w:hAnsi="Calibri"/>
              <w:b/>
              <w:bCs/>
              <w:sz w:val="22"/>
              <w:szCs w:val="22"/>
            </w:rPr>
            <w:tab/>
            <w:t>6</w:t>
          </w:r>
        </w:p>
        <w:p>
          <w:pPr>
            <w:tabs>
              <w:tab w:val="right" w:leader="dot" w:pos="9350"/>
            </w:tabs>
            <w:spacing w:before="0" w:after="4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A1. Purpose and audience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6</w:t>
          </w:r>
        </w:p>
        <w:p>
          <w:pPr>
            <w:tabs>
              <w:tab w:val="right" w:leader="dot" w:pos="9350"/>
            </w:tabs>
            <w:spacing w:before="0" w:after="4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A2. Where we are and where we are going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6</w:t>
          </w:r>
        </w:p>
        <w:p>
          <w:pPr>
            <w:tabs>
              <w:tab w:val="right" w:leader="dot" w:pos="9350"/>
            </w:tabs>
            <w:spacing w:before="0" w:after="4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A3. Principles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7</w:t>
          </w:r>
        </w:p>
        <w:p>
          <w:pPr>
            <w:tabs>
              <w:tab w:val="right" w:leader="dot" w:pos="9350"/>
            </w:tabs>
            <w:spacing w:before="0" w:after="4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A4. Phases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7</w:t>
          </w:r>
        </w:p>
        <w:p>
          <w:pPr>
            <w:tabs>
              <w:tab w:val="right" w:leader="dot" w:pos="9350"/>
            </w:tabs>
            <w:spacing w:before="0" w:after="4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A5. Initiatives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8</w:t>
          </w:r>
        </w:p>
        <w:p>
          <w:pPr>
            <w:tabs>
              <w:tab w:val="right" w:leader="dot" w:pos="9350"/>
            </w:tabs>
            <w:spacing w:before="0" w:after="4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A6. The first three initiatives to fund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10</w:t>
          </w:r>
        </w:p>
        <w:p>
          <w:pPr>
            <w:tabs>
              <w:tab w:val="right" w:leader="dot" w:pos="9350"/>
            </w:tabs>
            <w:spacing w:before="0" w:after="4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A7. Decisions leadership needs to make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11</w:t>
          </w:r>
        </w:p>
        <w:p>
          <w:pPr>
            <w:tabs>
              <w:tab w:val="right" w:leader="dot" w:pos="9350"/>
            </w:tabs>
            <w:spacing w:before="0" w:after="4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A8. Cost summary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11</w:t>
          </w:r>
        </w:p>
        <w:p>
          <w:pPr>
            <w:tabs>
              <w:tab w:val="right" w:leader="dot" w:pos="9350"/>
            </w:tabs>
            <w:spacing w:before="0" w:after="4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A9. Risks and mitigations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12</w:t>
          </w:r>
        </w:p>
        <w:p>
          <w:pPr>
            <w:tabs>
              <w:tab w:val="right" w:leader="dot" w:pos="9350"/>
            </w:tabs>
            <w:spacing w:before="0" w:after="4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A10. Measures of success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13</w:t>
          </w:r>
        </w:p>
        <w:p>
          <w:pPr>
            <w:tabs>
              <w:tab w:val="right" w:leader="dot" w:pos="9350"/>
            </w:tabs>
            <w:spacing w:before="0" w:after="4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A11. Instructor feedback (captured at the capstone)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13</w:t>
          </w:r>
        </w:p>
        <w:p>
          <w:pPr>
            <w:tabs>
              <w:tab w:val="right" w:leader="dot" w:pos="9350"/>
            </w:tabs>
            <w:spacing w:before="0" w:after="40"/>
            <w:ind w:left="360"/>
          </w:pPr>
          <w:r>
            <w:rPr>
              <w:rFonts w:ascii="Calibri" w:cs="Calibri" w:eastAsia="Calibri" w:hAnsi="Calibri"/>
              <w:sz w:val="22"/>
              <w:szCs w:val="22"/>
            </w:rPr>
            <w:t xml:space="preserve">A12. Who carries the roadmap forward</w:t>
          </w:r>
          <w:r>
            <w:rPr>
              <w:rFonts w:ascii="Calibri" w:cs="Calibri" w:eastAsia="Calibri" w:hAnsi="Calibri"/>
              <w:sz w:val="22"/>
              <w:szCs w:val="22"/>
            </w:rPr>
            <w:tab/>
            <w:t>14</w:t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7A0019"/>
          <w:sz w:val="32"/>
          <w:szCs w:val="32"/>
        </w:rPr>
        <w:t xml:space="preserve">How to use this template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This is the one document the whole course builds toward. In Session 6, Block 3 (105 minutes), the team completes Part A as a single roadmap, presents it, captures the instructor's feedback in section A11, and agrees who carries it forward. Everything you need is already in your hands: the six session workbooks hold the designs, the cost model workbook holds the numbers, and the Reference Card Pack holds the limits and the vocabulary.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A0019"/>
          <w:sz w:val="27"/>
          <w:szCs w:val="27"/>
        </w:rPr>
        <w:t xml:space="preserve">The shape of the capstone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23"/>
        <w:gridCol w:w="3370"/>
        <w:gridCol w:w="1872"/>
        <w:gridCol w:w="2995"/>
      </w:tblGrid>
      <w:tr>
        <w:trPr>
          <w:tblHeader/>
        </w:trPr>
        <w:tc>
          <w:tcPr>
            <w:tcW w:type="dxa" w:w="1123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Minute</w:t>
            </w:r>
          </w:p>
        </w:tc>
        <w:tc>
          <w:tcPr>
            <w:tcW w:type="dxa" w:w="3370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is doing</w:t>
            </w:r>
          </w:p>
        </w:tc>
        <w:tc>
          <w:tcPr>
            <w:tcW w:type="dxa" w:w="1872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Template section</w:t>
            </w:r>
          </w:p>
        </w:tc>
        <w:tc>
          <w:tcPr>
            <w:tcW w:type="dxa" w:w="2995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Bring to the table</w:t>
            </w:r>
          </w:p>
        </w:tc>
      </w:tr>
      <w:tr>
        <w:trPr>
          <w:cantSplit/>
        </w:trPr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 to 10</w:t>
            </w:r>
          </w:p>
        </w:tc>
        <w:tc>
          <w:tcPr>
            <w:tcW w:type="dxa" w:w="337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Agree what 'done' means for each of the four phases, starting with Phase 1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A4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6 workbook, section 3</w:t>
            </w:r>
          </w:p>
        </w:tc>
      </w:tr>
      <w:tr>
        <w:trPr>
          <w:cantSplit/>
        </w:trPr>
        <w:tc>
          <w:tcPr>
            <w:tcW w:type="dxa" w:w="1123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to 35</w:t>
            </w:r>
          </w:p>
        </w:tc>
        <w:tc>
          <w:tcPr>
            <w:tcW w:type="dxa" w:w="3370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 every initiative and every dependency in a phase; challenge anything placed before its dependency</w:t>
            </w:r>
          </w:p>
        </w:tc>
        <w:tc>
          <w:tcPr>
            <w:tcW w:type="dxa" w:w="1872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A5</w:t>
            </w:r>
          </w:p>
        </w:tc>
        <w:tc>
          <w:tcPr>
            <w:tcW w:type="dxa" w:w="2995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six capstone inputs (table below)</w:t>
            </w:r>
          </w:p>
        </w:tc>
      </w:tr>
      <w:tr>
        <w:trPr>
          <w:cantSplit/>
        </w:trPr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 to 55</w:t>
            </w:r>
          </w:p>
        </w:tc>
        <w:tc>
          <w:tcPr>
            <w:tcW w:type="dxa" w:w="337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the first three initiatives with two options each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A6, A8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model workbook: Scenarios, BackupRetention, EgressAndCopies</w:t>
            </w:r>
          </w:p>
        </w:tc>
      </w:tr>
      <w:tr>
        <w:trPr>
          <w:cantSplit/>
        </w:trPr>
        <w:tc>
          <w:tcPr>
            <w:tcW w:type="dxa" w:w="1123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 to 70</w:t>
            </w:r>
          </w:p>
        </w:tc>
        <w:tc>
          <w:tcPr>
            <w:tcW w:type="dxa" w:w="3370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 every 'we would need approval' into a decision with an owner and a date</w:t>
            </w:r>
          </w:p>
        </w:tc>
        <w:tc>
          <w:tcPr>
            <w:tcW w:type="dxa" w:w="1872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A7</w:t>
            </w:r>
          </w:p>
        </w:tc>
        <w:tc>
          <w:tcPr>
            <w:tcW w:type="dxa" w:w="2995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3 and Session 5 pitches</w:t>
            </w:r>
          </w:p>
        </w:tc>
      </w:tr>
      <w:tr>
        <w:trPr>
          <w:cantSplit/>
        </w:trPr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70 to 80</w:t>
            </w:r>
          </w:p>
        </w:tc>
        <w:tc>
          <w:tcPr>
            <w:tcW w:type="dxa" w:w="337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Pick five measures of success with a baseline the team can state today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A10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 Storage Inventory Summary sheet</w:t>
            </w:r>
          </w:p>
        </w:tc>
      </w:tr>
      <w:tr>
        <w:trPr>
          <w:cantSplit/>
        </w:trPr>
        <w:tc>
          <w:tcPr>
            <w:tcW w:type="dxa" w:w="1123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 to 100</w:t>
            </w:r>
          </w:p>
        </w:tc>
        <w:tc>
          <w:tcPr>
            <w:tcW w:type="dxa" w:w="3370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Present (ten minutes) and receive feedback (ten minutes)</w:t>
            </w:r>
          </w:p>
        </w:tc>
        <w:tc>
          <w:tcPr>
            <w:tcW w:type="dxa" w:w="1872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A11</w:t>
            </w:r>
          </w:p>
        </w:tc>
        <w:tc>
          <w:tcPr>
            <w:tcW w:type="dxa" w:w="2995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presenter, one note taker</w:t>
            </w:r>
          </w:p>
        </w:tc>
      </w:tr>
      <w:tr>
        <w:trPr>
          <w:cantSplit/>
        </w:trPr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to 105</w:t>
            </w:r>
          </w:p>
        </w:tc>
        <w:tc>
          <w:tcPr>
            <w:tcW w:type="dxa" w:w="337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the roles that carry the roadmap forward and the first checkpoint date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A12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A0019"/>
          <w:sz w:val="27"/>
          <w:szCs w:val="27"/>
        </w:rPr>
        <w:t xml:space="preserve">The six capstone inputs and where they come from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Each session ended with one input for this roadmap. They become rows in A5; the dependencies they rely on become Phase 1 rows of their own.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6"/>
        <w:gridCol w:w="3182"/>
        <w:gridCol w:w="2434"/>
        <w:gridCol w:w="2808"/>
      </w:tblGrid>
      <w:tr>
        <w:trPr>
          <w:tblHeader/>
        </w:trPr>
        <w:tc>
          <w:tcPr>
            <w:tcW w:type="dxa" w:w="936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3182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Capstone input</w:t>
            </w:r>
          </w:p>
        </w:tc>
        <w:tc>
          <w:tcPr>
            <w:tcW w:type="dxa" w:w="2434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  <w:tc>
          <w:tcPr>
            <w:tcW w:type="dxa" w:w="2808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Carry over to A5</w:t>
            </w:r>
          </w:p>
        </w:tc>
      </w:tr>
      <w:tr>
        <w:trPr>
          <w:cantSplit/>
        </w:trPr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18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Tagged, lifecycle-managed research storage with reserved capacity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1 workbook, sections 3 and 6; Inventory Summary sheet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Phase, the tagging standard it depends on, the saving from the Summary sheet</w:t>
            </w:r>
          </w:p>
        </w:tc>
      </w:tr>
      <w:tr>
        <w:trPr>
          <w:cantSplit/>
        </w:trPr>
        <w:tc>
          <w:tcPr>
            <w:tcW w:type="dxa" w:w="936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182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Century-proof archival landing zone with integrity validation</w:t>
            </w:r>
          </w:p>
        </w:tc>
        <w:tc>
          <w:tcPr>
            <w:tcW w:type="dxa" w:w="2434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2 lab result and workbook section 3</w:t>
            </w:r>
          </w:p>
        </w:tc>
        <w:tc>
          <w:tcPr>
            <w:tcW w:type="dxa" w:w="2808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Phase, the identity and connectivity it depends on, the retention classes it needs decided</w:t>
            </w:r>
          </w:p>
        </w:tc>
      </w:tr>
      <w:tr>
        <w:trPr>
          <w:cantSplit/>
        </w:trPr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18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Immutable backup target for on-premises protection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3 lab result and workbook section 3; executive briefing one-pager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 quick win; Resource Guard ownership decision</w:t>
            </w:r>
          </w:p>
        </w:tc>
      </w:tr>
      <w:tr>
        <w:trPr>
          <w:cantSplit/>
        </w:trPr>
        <w:tc>
          <w:tcPr>
            <w:tcW w:type="dxa" w:w="936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182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University resilience matrix applied to six workload classes</w:t>
            </w:r>
          </w:p>
        </w:tc>
        <w:tc>
          <w:tcPr>
            <w:tcW w:type="dxa" w:w="2434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4 workbook, section 3 worksheet</w:t>
            </w:r>
          </w:p>
        </w:tc>
        <w:tc>
          <w:tcPr>
            <w:tcW w:type="dxa" w:w="2808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Phase, RPO and RTO per tier, the cost lines from Scenarios and EgressAndCopies</w:t>
            </w:r>
          </w:p>
        </w:tc>
      </w:tr>
      <w:tr>
        <w:trPr>
          <w:cantSplit/>
        </w:trPr>
        <w:tc>
          <w:tcPr>
            <w:tcW w:type="dxa" w:w="93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18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Immutability tier for the Oracle estate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5 workbook, section 3; business case template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Phase, the Oracle path decision, the weekly restore test as a measure</w:t>
            </w:r>
          </w:p>
        </w:tc>
      </w:tr>
      <w:tr>
        <w:trPr>
          <w:cantSplit/>
        </w:trPr>
        <w:tc>
          <w:tcPr>
            <w:tcW w:type="dxa" w:w="936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182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Bicep and Azure Policy platform with Cost Management showback</w:t>
            </w:r>
          </w:p>
        </w:tc>
        <w:tc>
          <w:tcPr>
            <w:tcW w:type="dxa" w:w="2434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 6 workbook, sections 3 and 4; the Bicep bundle</w:t>
            </w:r>
          </w:p>
        </w:tc>
        <w:tc>
          <w:tcPr>
            <w:tcW w:type="dxa" w:w="2808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 foundation; chargeback decision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A0019"/>
          <w:sz w:val="27"/>
          <w:szCs w:val="27"/>
        </w:rPr>
        <w:t xml:space="preserve">What good looks like, section by section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85"/>
        <w:gridCol w:w="4118"/>
        <w:gridCol w:w="3557"/>
      </w:tblGrid>
      <w:tr>
        <w:trPr>
          <w:tblHeader/>
        </w:trPr>
        <w:tc>
          <w:tcPr>
            <w:tcW w:type="dxa" w:w="1685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118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a strong entry contains</w:t>
            </w:r>
          </w:p>
        </w:tc>
        <w:tc>
          <w:tcPr>
            <w:tcW w:type="dxa" w:w="3557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avoid</w:t>
            </w:r>
          </w:p>
        </w:tc>
      </w:tr>
      <w:tr>
        <w:trPr>
          <w:cantSplit/>
        </w:trPr>
        <w:tc>
          <w:tcPr>
            <w:tcW w:type="dxa" w:w="168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 Purpose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it is for, what it commits to, what it asks for, in three sentences</w:t>
            </w:r>
          </w:p>
        </w:tc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Restating the course; product names</w:t>
            </w:r>
          </w:p>
        </w:tc>
      </w:tr>
      <w:tr>
        <w:trPr>
          <w:cantSplit/>
        </w:trPr>
        <w:tc>
          <w:tcPr>
            <w:tcW w:type="dxa" w:w="1685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A2 Today and in two years</w:t>
            </w:r>
          </w:p>
        </w:tc>
        <w:tc>
          <w:tcPr>
            <w:tcW w:type="dxa" w:w="4118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honest line per dimension; the two-year column states an outcome, not a technology</w:t>
            </w:r>
          </w:p>
        </w:tc>
        <w:tc>
          <w:tcPr>
            <w:tcW w:type="dxa" w:w="3557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'Move to Azure' as the target state</w:t>
            </w:r>
          </w:p>
        </w:tc>
      </w:tr>
      <w:tr>
        <w:trPr>
          <w:cantSplit/>
        </w:trPr>
        <w:tc>
          <w:tcPr>
            <w:tcW w:type="dxa" w:w="168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A3 Principles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Five or six sentences the team will actually apply when the roadmap is silent</w:t>
            </w:r>
          </w:p>
        </w:tc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Slogans nobody could disagree with</w:t>
            </w:r>
          </w:p>
        </w:tc>
      </w:tr>
      <w:tr>
        <w:trPr>
          <w:cantSplit/>
        </w:trPr>
        <w:tc>
          <w:tcPr>
            <w:tcW w:type="dxa" w:w="1685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A4 Phases</w:t>
            </w:r>
          </w:p>
        </w:tc>
        <w:tc>
          <w:tcPr>
            <w:tcW w:type="dxa" w:w="4118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'Done' stated as something a sponsor can verify; one quick win per phase</w:t>
            </w:r>
          </w:p>
        </w:tc>
        <w:tc>
          <w:tcPr>
            <w:tcW w:type="dxa" w:w="3557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Phases with no quick win; Phase 1 that is all groundwork</w:t>
            </w:r>
          </w:p>
        </w:tc>
      </w:tr>
      <w:tr>
        <w:trPr>
          <w:cantSplit/>
        </w:trPr>
        <w:tc>
          <w:tcPr>
            <w:tcW w:type="dxa" w:w="168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A5 Initiatives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initiative after the dependency it needs; a cost or risk figure with a source; an owner by role</w:t>
            </w:r>
          </w:p>
        </w:tc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Identity or connectivity placed in Phase 2 or later; the storage team as owner of everything</w:t>
            </w:r>
          </w:p>
        </w:tc>
      </w:tr>
      <w:tr>
        <w:trPr>
          <w:cantSplit/>
        </w:trPr>
        <w:tc>
          <w:tcPr>
            <w:tcW w:type="dxa" w:w="1685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A6 First three</w:t>
            </w:r>
          </w:p>
        </w:tc>
        <w:tc>
          <w:tcPr>
            <w:tcW w:type="dxa" w:w="4118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options each, with what the second option gives up; the cost model sheet named for every number</w:t>
            </w:r>
          </w:p>
        </w:tc>
        <w:tc>
          <w:tcPr>
            <w:tcW w:type="dxa" w:w="3557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single recommendation; numbers without a source</w:t>
            </w:r>
          </w:p>
        </w:tc>
      </w:tr>
      <w:tr>
        <w:trPr>
          <w:cantSplit/>
        </w:trPr>
        <w:tc>
          <w:tcPr>
            <w:tcW w:type="dxa" w:w="168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A7 Decisions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decision, the options, the recommendation, the owner, the date</w:t>
            </w:r>
          </w:p>
        </w:tc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'Leadership to decide' with no date</w:t>
            </w:r>
          </w:p>
        </w:tc>
      </w:tr>
      <w:tr>
        <w:trPr>
          <w:cantSplit/>
        </w:trPr>
        <w:tc>
          <w:tcPr>
            <w:tcW w:type="dxa" w:w="1685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A8 Cost summary</w:t>
            </w:r>
          </w:p>
        </w:tc>
        <w:tc>
          <w:tcPr>
            <w:tcW w:type="dxa" w:w="4118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One-time and run cost per phase with the saving beside it; illustrative prices flagged</w:t>
            </w:r>
          </w:p>
        </w:tc>
        <w:tc>
          <w:tcPr>
            <w:tcW w:type="dxa" w:w="3557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cost without the saving it funds</w:t>
            </w:r>
          </w:p>
        </w:tc>
      </w:tr>
      <w:tr>
        <w:trPr>
          <w:cantSplit/>
        </w:trPr>
        <w:tc>
          <w:tcPr>
            <w:tcW w:type="dxa" w:w="168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A9 Risks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mitigation and an owner for each</w:t>
            </w:r>
          </w:p>
        </w:tc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Risks without owners</w:t>
            </w:r>
          </w:p>
        </w:tc>
      </w:tr>
      <w:tr>
        <w:trPr>
          <w:cantSplit/>
        </w:trPr>
        <w:tc>
          <w:tcPr>
            <w:tcW w:type="dxa" w:w="1685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A10 Measures</w:t>
            </w:r>
          </w:p>
        </w:tc>
        <w:tc>
          <w:tcPr>
            <w:tcW w:type="dxa" w:w="4118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baseline the team can state today, a target, a date, and where it is reported</w:t>
            </w:r>
          </w:p>
        </w:tc>
        <w:tc>
          <w:tcPr>
            <w:tcW w:type="dxa" w:w="3557"/>
            <w:shd w:fill="F3F3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Measures with no baseline</w:t>
            </w:r>
          </w:p>
        </w:tc>
      </w:tr>
      <w:tr>
        <w:trPr>
          <w:cantSplit/>
        </w:trPr>
        <w:tc>
          <w:tcPr>
            <w:tcW w:type="dxa" w:w="1685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A12 Who carries it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Roles, not people; a first checkpoint date</w:t>
            </w:r>
          </w:p>
        </w:tc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Names of individuals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A0019"/>
          <w:sz w:val="27"/>
          <w:szCs w:val="27"/>
        </w:rPr>
        <w:t xml:space="preserve">Writing for leadership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2"/>
          <w:szCs w:val="22"/>
        </w:rPr>
        <w:t xml:space="preserve">Options invite a decision; a single recommendation invites a yes or no. Give at least two options wherever money is involved.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2"/>
          <w:szCs w:val="22"/>
        </w:rPr>
        <w:t xml:space="preserve">Every number carries its source: a cost model sheet, an inventory sheet, or the word 'estimate'. Illustrative prices stay labeled until a quote replaces them.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2"/>
          <w:szCs w:val="22"/>
        </w:rPr>
        <w:t xml:space="preserve">A decision without a date is a wish. Align dates to the university's funding calendar.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2"/>
          <w:szCs w:val="22"/>
        </w:rPr>
        <w:t xml:space="preserve">The records office, Security, Procurement, the CFO's delegate, and the Provost's delegate appear as owners where the decision is theirs. The storage team cannot own a retention class or a chargeback policy.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sz w:val="22"/>
          <w:szCs w:val="22"/>
        </w:rPr>
        <w:t xml:space="preserve">Keep the submitted roadmap to the template's length. Leadership reads A1, A4, A6, and A7; the rest is there when they ask.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7A0019"/>
          <w:sz w:val="32"/>
          <w:szCs w:val="32"/>
        </w:rPr>
        <w:t xml:space="preserve">Part A: the roadmap template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A0019"/>
          <w:sz w:val="27"/>
          <w:szCs w:val="27"/>
        </w:rPr>
        <w:t xml:space="preserve">A1. Purpose and audience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Guidance: two or three sentences. Who the roadmap is for, what it commits to, and what it asks for.</w:t>
      </w: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6A6A6" w:sz="6"/>
          <w:insideV w:val="single" w:color="A6A6A6" w:sz="6"/>
        </w:tblBorders>
      </w:tblPr>
      <w:tblGrid>
        <w:gridCol w:w="9360"/>
      </w:tblGrid>
      <w:tr>
        <w:tc>
          <w:tcPr>
            <w:tcW w:type="dxa" w:w="93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Purpose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A0019"/>
          <w:sz w:val="27"/>
          <w:szCs w:val="27"/>
        </w:rPr>
        <w:t xml:space="preserve">A2. Where we are and where we are going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Guidance: the current state in one paragraph (nearly all on premises; frames, NAS, tape; decades-old protection) and the target state in one paragraph (hybrid platform with Azure for archival, protection, resilience, and selected enterprise workloads).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9"/>
        <w:gridCol w:w="3650"/>
        <w:gridCol w:w="3650"/>
      </w:tblGrid>
      <w:tr>
        <w:trPr>
          <w:tblHeader/>
        </w:trPr>
        <w:tc>
          <w:tcPr>
            <w:tcW w:type="dxa" w:w="2059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650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Today</w:t>
            </w:r>
          </w:p>
        </w:tc>
        <w:tc>
          <w:tcPr>
            <w:tcW w:type="dxa" w:w="3650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 two years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 storage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Archival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Protection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Disaster recovery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 databases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Cost management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 and governance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65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A0019"/>
          <w:sz w:val="27"/>
          <w:szCs w:val="27"/>
        </w:rPr>
        <w:t xml:space="preserve">A3. Principles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Guidance: five or six sentences the team will apply when a decision is not covered by the roadmap. The course offers: strategy over inventory; FinOps everywhere; immutability by declaration; dependencies first; everything as code; options for leadership.</w:t>
      </w: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6A6A6" w:sz="6"/>
          <w:insideV w:val="single" w:color="A6A6A6" w:sz="6"/>
        </w:tblBorders>
      </w:tblPr>
      <w:tblGrid>
        <w:gridCol w:w="9360"/>
      </w:tblGrid>
      <w:tr>
        <w:tc>
          <w:tcPr>
            <w:tcW w:type="dxa" w:w="93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Principles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A0019"/>
          <w:sz w:val="27"/>
          <w:szCs w:val="27"/>
        </w:rPr>
        <w:t xml:space="preserve">A4. Phases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2059"/>
        <w:gridCol w:w="3182"/>
        <w:gridCol w:w="2246"/>
      </w:tblGrid>
      <w:tr>
        <w:trPr>
          <w:tblHeader/>
        </w:trPr>
        <w:tc>
          <w:tcPr>
            <w:tcW w:type="dxa" w:w="1872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59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3182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'done' means</w:t>
            </w:r>
          </w:p>
        </w:tc>
        <w:tc>
          <w:tcPr>
            <w:tcW w:type="dxa" w:w="2246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Quick wins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1: months 1 to 6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Foundations and quick wins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8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2: months 7 to 12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Protection and archival at scale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8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3: months 13 to 18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Resilience and database modernization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8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4: months 19 to 24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Optimization and continuous FinOps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8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A0019"/>
          <w:sz w:val="27"/>
          <w:szCs w:val="27"/>
        </w:rPr>
        <w:t xml:space="preserve">A5. Initiatives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Guidance: one row per initiative, including the six capstone inputs from the course. Dependencies (identity, connectivity, governance, tagging) are rows too, placed in Phase 1.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34"/>
        <w:gridCol w:w="842"/>
        <w:gridCol w:w="1591"/>
        <w:gridCol w:w="2059"/>
        <w:gridCol w:w="1217"/>
        <w:gridCol w:w="1217"/>
      </w:tblGrid>
      <w:tr>
        <w:trPr>
          <w:tblHeader/>
        </w:trPr>
        <w:tc>
          <w:tcPr>
            <w:tcW w:type="dxa" w:w="2434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842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91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059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reduced or cost saved</w:t>
            </w:r>
          </w:p>
        </w:tc>
        <w:tc>
          <w:tcPr>
            <w:tcW w:type="dxa" w:w="1217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 (role)</w:t>
            </w:r>
          </w:p>
        </w:tc>
        <w:tc>
          <w:tcPr>
            <w:tcW w:type="dxa" w:w="1217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 needed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Tagged, lifecycle-managed research storage with reserved capacity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4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9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Century-proof archival landing zone with integrity validation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4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9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Immutable backup target for on-premises protection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4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9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Resilience matrix applied to six workload classes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4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9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Immutability tier for the Oracle estate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4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9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Bicep and Azure Policy platform with Cost Management showback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4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9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Dependency: hybrid identity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4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9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Dependency: connectivity and private endpoints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4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9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Dependency: governance and tagging standard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4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9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4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9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84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59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1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A0019"/>
          <w:sz w:val="27"/>
          <w:szCs w:val="27"/>
        </w:rPr>
        <w:t xml:space="preserve">A6. The first three initiatives to fund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59"/>
        <w:gridCol w:w="2434"/>
        <w:gridCol w:w="2434"/>
        <w:gridCol w:w="2434"/>
      </w:tblGrid>
      <w:tr>
        <w:trPr>
          <w:tblHeader/>
        </w:trPr>
        <w:tc>
          <w:tcPr>
            <w:tcW w:type="dxa" w:w="2059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34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Initiative 1</w:t>
            </w:r>
          </w:p>
        </w:tc>
        <w:tc>
          <w:tcPr>
            <w:tcW w:type="dxa" w:w="2434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Initiative 2</w:t>
            </w:r>
          </w:p>
        </w:tc>
        <w:tc>
          <w:tcPr>
            <w:tcW w:type="dxa" w:w="2434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Initiative 3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 and phase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Outcome in business terms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One-time cost and effort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 run cost (cost model sheet)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Saving or risk avoided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Assumptions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Options (at least two)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 and start month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A0019"/>
          <w:sz w:val="27"/>
          <w:szCs w:val="27"/>
        </w:rPr>
        <w:t xml:space="preserve">A7. Decisions leadership needs to make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34"/>
        <w:gridCol w:w="2246"/>
        <w:gridCol w:w="1872"/>
        <w:gridCol w:w="1498"/>
        <w:gridCol w:w="1310"/>
      </w:tblGrid>
      <w:tr>
        <w:trPr>
          <w:tblHeader/>
        </w:trPr>
        <w:tc>
          <w:tcPr>
            <w:tcW w:type="dxa" w:w="2434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246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1872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1498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 (role)</w:t>
            </w:r>
          </w:p>
        </w:tc>
        <w:tc>
          <w:tcPr>
            <w:tcW w:type="dxa" w:w="1310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Needed by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A0019"/>
          <w:sz w:val="27"/>
          <w:szCs w:val="27"/>
        </w:rPr>
        <w:t xml:space="preserve">A8. Cost summary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Guidance: by phase, one-time and run cost, with the saving line beside it. Use the cost model's illustrative prices and say so until quotes replace them.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98"/>
        <w:gridCol w:w="1310"/>
        <w:gridCol w:w="1498"/>
        <w:gridCol w:w="2059"/>
        <w:gridCol w:w="1123"/>
        <w:gridCol w:w="1872"/>
      </w:tblGrid>
      <w:tr>
        <w:trPr>
          <w:tblHeader/>
        </w:trPr>
        <w:tc>
          <w:tcPr>
            <w:tcW w:type="dxa" w:w="1498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310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One-time</w:t>
            </w:r>
          </w:p>
        </w:tc>
        <w:tc>
          <w:tcPr>
            <w:tcW w:type="dxa" w:w="1498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run</w:t>
            </w:r>
          </w:p>
        </w:tc>
        <w:tc>
          <w:tcPr>
            <w:tcW w:type="dxa" w:w="2059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saving or avoided cost</w:t>
            </w:r>
          </w:p>
        </w:tc>
        <w:tc>
          <w:tcPr>
            <w:tcW w:type="dxa" w:w="1123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</w:t>
            </w:r>
          </w:p>
        </w:tc>
        <w:tc>
          <w:tcPr>
            <w:tcW w:type="dxa" w:w="1872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A0019"/>
          <w:sz w:val="27"/>
          <w:szCs w:val="27"/>
        </w:rPr>
        <w:t xml:space="preserve">A9. Risks and mitigations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744"/>
        <w:gridCol w:w="4118"/>
        <w:gridCol w:w="1498"/>
      </w:tblGrid>
      <w:tr>
        <w:trPr>
          <w:tblHeader/>
        </w:trPr>
        <w:tc>
          <w:tcPr>
            <w:tcW w:type="dxa" w:w="3744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118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498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A0019"/>
          <w:sz w:val="27"/>
          <w:szCs w:val="27"/>
        </w:rPr>
        <w:t xml:space="preserve">A10. Measures of success</w:t>
      </w:r>
    </w:p>
    <w:p>
      <w:pPr>
        <w:spacing w:after="14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Guidance: five measures, each with a target and a date. Candidates: percent of research capacity tiered; percent of backups immutable; restore test pass rate; cost per TB per month by class; policy compliance.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8"/>
        <w:gridCol w:w="1498"/>
        <w:gridCol w:w="1498"/>
        <w:gridCol w:w="1310"/>
        <w:gridCol w:w="2246"/>
      </w:tblGrid>
      <w:tr>
        <w:trPr>
          <w:tblHeader/>
        </w:trPr>
        <w:tc>
          <w:tcPr>
            <w:tcW w:type="dxa" w:w="2808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1498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498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310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By when</w:t>
            </w:r>
          </w:p>
        </w:tc>
        <w:tc>
          <w:tcPr>
            <w:tcW w:type="dxa" w:w="2246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Reported where</w:t>
            </w:r>
          </w:p>
        </w:tc>
      </w:tr>
      <w:tr>
        <w:trPr>
          <w:cantSplit/>
        </w:trPr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A0019"/>
          <w:sz w:val="27"/>
          <w:szCs w:val="27"/>
        </w:rPr>
        <w:t xml:space="preserve">A11. Instructor feedback (captured at the capstone)</w:t>
      </w:r>
    </w:p>
    <w:tbl>
      <w:tblPr>
        <w:tblW w:type="dxa" w:w="9360"/>
        <w:tblBorders>
          <w:top w:val="single" w:color="A6A6A6" w:sz="6"/>
          <w:left w:val="single" w:color="A6A6A6" w:sz="6"/>
          <w:bottom w:val="single" w:color="A6A6A6" w:sz="6"/>
          <w:right w:val="single" w:color="A6A6A6" w:sz="6"/>
          <w:insideH w:val="single" w:color="A6A6A6" w:sz="6"/>
          <w:insideV w:val="single" w:color="A6A6A6" w:sz="6"/>
        </w:tblBorders>
      </w:tblPr>
      <w:tblGrid>
        <w:gridCol w:w="9360"/>
      </w:tblGrid>
      <w:tr>
        <w:tc>
          <w:tcPr>
            <w:tcW w:type="dxa" w:w="936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20"/>
                <w:szCs w:val="20"/>
              </w:rPr>
              <w:t xml:space="preserve">Feedback and agreed changes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dotted" w:color="BFBFBF" w:sz="4" w:space="1"/>
              </w:pBdr>
              <w:spacing w:after="0" w:line="4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7A0019"/>
          <w:sz w:val="27"/>
          <w:szCs w:val="27"/>
        </w:rPr>
        <w:t xml:space="preserve">A12. Who carries the roadmap forward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21"/>
        <w:gridCol w:w="4680"/>
        <w:gridCol w:w="2059"/>
      </w:tblGrid>
      <w:tr>
        <w:trPr>
          <w:tblHeader/>
        </w:trPr>
        <w:tc>
          <w:tcPr>
            <w:tcW w:type="dxa" w:w="2621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059"/>
            <w:shd w:fill="7A001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checkpoint</w:t>
            </w:r>
          </w:p>
        </w:tc>
      </w:tr>
      <w:tr>
        <w:trPr>
          <w:cantSplit/>
        </w:trPr>
        <w:tc>
          <w:tcPr>
            <w:tcW w:type="dxa" w:w="262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62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62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0" w:line="40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Gamut Technology Services | October 2026</w:t>
    </w:r>
    <w:r>
      <w:rPr>
        <w:rFonts w:ascii="Calibri" w:cs="Calibri" w:eastAsia="Calibri" w:hAnsi="Calibri"/>
        <w:color w:val="595959"/>
        <w:sz w:val="18"/>
        <w:szCs w:val="18"/>
      </w:rPr>
      <w:t xml:space="preserve">	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CC33" w:sz="6" w:space="4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Hybrid Data Platform Roadmap Template | University of Minnesota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7A001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7A0019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Hybrid Data Platform Roadmap Template</dc:title>
  <dc:creator>Gamut Technology Services</dc:creator>
  <cp:lastModifiedBy>Un-named</cp:lastModifiedBy>
  <cp:revision>1</cp:revision>
  <dcterms:created xsi:type="dcterms:W3CDTF">2026-10-15T14:13:49.185Z</dcterms:created>
  <dcterms:modified xsi:type="dcterms:W3CDTF">2026-10-15T14:13:49.185Z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