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3 Participant Workbook</w:t>
      </w:r>
    </w:p>
    <w:p>
      <w:pPr>
        <w:spacing w:after="120"/>
      </w:pPr>
      <w:r>
        <w:rPr>
          <w:rFonts w:ascii="Calibri" w:cs="Calibri" w:eastAsia="Calibri" w:hAnsi="Calibri"/>
          <w:color w:val="595959"/>
          <w:sz w:val="30"/>
          <w:szCs w:val="30"/>
        </w:rPr>
        <w:t xml:space="preserve">Data Protection in Both Directions</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2, Session 3,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choosing the vault</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Debrief design sprint: protection in both directions for your estate</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lab evidence</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direction 1, on premises to Azure</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3.4 Worksheet: direction 2, Azure workloads</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3.5 Worksheet: separation of duties</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3.6 What you present</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3.7 How your design will be critiqued</w:t>
          </w:r>
          <w:r>
            <w:rPr>
              <w:rFonts w:ascii="Calibri" w:cs="Calibri" w:eastAsia="Calibri" w:hAnsi="Calibri"/>
              <w:sz w:val="22"/>
              <w:szCs w:val="22"/>
            </w:rPr>
            <w:tab/>
            <w:t>8</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11</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2, Session 3: Data Protection in Both Directions.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Azure Backup architecture and vault selection</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Ransomware resilience controls and the live attack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45</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On-premises to Azure and cloud workload protection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75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Hands-on lab and debrief</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Leadership wants the university to be able to say, with confidence, that it offers immutable data protection. This session covers both directions: Azure as a target for on-premises backups (MARS agent, Microsoft Azure Backup Server, offline seeding, passphrase custody, third-party platforms writing to immutable Blob) and protection of the workloads that will live in Azure (operational and vaulted blob backup, vaulted backup for Data Lake Storage, Azure Files, virtual machines, managed disks).</w:t>
      </w:r>
    </w:p>
    <w:p>
      <w:pPr>
        <w:spacing w:after="140" w:line="276"/>
      </w:pPr>
      <w:r>
        <w:rPr>
          <w:rFonts w:ascii="Calibri" w:cs="Calibri" w:eastAsia="Calibri" w:hAnsi="Calibri"/>
          <w:sz w:val="22"/>
          <w:szCs w:val="22"/>
        </w:rPr>
        <w:t xml:space="preserve">Between the two directions sit the controls that make immutability real against a compromised administrator: immutable vaults (reversible and irreversible, with WORM-backed storage where available), soft delete and enhanced soft delete, multi-user authorization with Resource Guard, built-in security alerts, and least-privilege backup roles. The vault choice (Recovery Services vault or Backup vault) is made by datasource, and the single management plane is Resiliency in Azure, which extends Azure Business Continuity Center.</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Your current backup topology in mind: what backs up the file servers, the application servers, and the databases today; where the copies go; who can delete them.</w:t>
      </w:r>
    </w:p>
    <w:p>
      <w:pPr>
        <w:pStyle w:val="ListParagraph"/>
        <w:numPr>
          <w:ilvl w:val="0"/>
          <w:numId w:val="2"/>
        </w:numPr>
        <w:spacing w:after="90" w:line="264"/>
      </w:pPr>
      <w:r>
        <w:rPr>
          <w:rFonts w:ascii="Calibri" w:cs="Calibri" w:eastAsia="Calibri" w:hAnsi="Calibri"/>
          <w:sz w:val="22"/>
          <w:szCs w:val="22"/>
        </w:rPr>
        <w:t xml:space="preserve">The Session 2 workbook: the archival landing zone is the pattern the third-party backup target reuses.</w:t>
      </w:r>
    </w:p>
    <w:p>
      <w:pPr>
        <w:pStyle w:val="ListParagraph"/>
        <w:numPr>
          <w:ilvl w:val="0"/>
          <w:numId w:val="2"/>
        </w:numPr>
        <w:spacing w:after="90" w:line="264"/>
      </w:pPr>
      <w:r>
        <w:rPr>
          <w:rFonts w:ascii="Calibri" w:cs="Calibri" w:eastAsia="Calibri" w:hAnsi="Calibri"/>
          <w:sz w:val="22"/>
          <w:szCs w:val="22"/>
        </w:rPr>
        <w:t xml:space="preserve">A terminal or Cloud Shell signed in to your lab subscription for Block 4, with the </w:t>
      </w:r>
      <w:r>
        <w:rPr>
          <w:rFonts w:ascii="Consolas" w:cs="Consolas" w:eastAsia="Consolas" w:hAnsi="Consolas"/>
          <w:sz w:val="20"/>
          <w:szCs w:val="20"/>
          <w:shd w:fill="F7F3EE" w:color="auto" w:val="clear"/>
        </w:rPr>
        <w:t xml:space="preserve">dataprotection</w:t>
      </w:r>
      <w:r>
        <w:rPr>
          <w:rFonts w:ascii="Calibri" w:cs="Calibri" w:eastAsia="Calibri" w:hAnsi="Calibri"/>
          <w:sz w:val="22"/>
          <w:szCs w:val="22"/>
        </w:rPr>
        <w:t xml:space="preserve"> extension installed.</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3 deck; demo script </w:t>
      </w:r>
      <w:r>
        <w:rPr>
          <w:rFonts w:ascii="Consolas" w:cs="Consolas" w:eastAsia="Consolas" w:hAnsi="Consolas"/>
          <w:sz w:val="20"/>
          <w:szCs w:val="20"/>
          <w:shd w:fill="F7F3EE" w:color="auto" w:val="clear"/>
        </w:rPr>
        <w:t xml:space="preserve">S03_Demo_Script_Ransomware_Attack_Defeated</w:t>
      </w:r>
    </w:p>
    <w:p>
      <w:pPr>
        <w:pStyle w:val="ListParagraph"/>
        <w:numPr>
          <w:ilvl w:val="0"/>
          <w:numId w:val="2"/>
        </w:numPr>
        <w:spacing w:after="90" w:line="264"/>
      </w:pPr>
      <w:r>
        <w:rPr>
          <w:rFonts w:ascii="Consolas" w:cs="Consolas" w:eastAsia="Consolas" w:hAnsi="Consolas"/>
          <w:sz w:val="20"/>
          <w:szCs w:val="20"/>
          <w:shd w:fill="F7F3EE" w:color="auto" w:val="clear"/>
        </w:rPr>
        <w:t xml:space="preserve">S03_Lab_Guide_Immutable_Backup_Vault_MUA</w:t>
      </w:r>
      <w:r>
        <w:rPr>
          <w:rFonts w:ascii="Calibri" w:cs="Calibri" w:eastAsia="Calibri" w:hAnsi="Calibri"/>
          <w:sz w:val="22"/>
          <w:szCs w:val="22"/>
        </w:rPr>
        <w:t xml:space="preserve"> (participants) and </w:t>
      </w:r>
      <w:r>
        <w:rPr>
          <w:rFonts w:ascii="Consolas" w:cs="Consolas" w:eastAsia="Consolas" w:hAnsi="Consolas"/>
          <w:sz w:val="20"/>
          <w:szCs w:val="20"/>
          <w:shd w:fill="F7F3EE" w:color="auto" w:val="clear"/>
        </w:rPr>
        <w:t xml:space="preserve">S03_Lab_Solution_Immutable_Backup_Vault_MUA</w:t>
      </w:r>
      <w:r>
        <w:rPr>
          <w:rFonts w:ascii="Calibri" w:cs="Calibri" w:eastAsia="Calibri" w:hAnsi="Calibri"/>
          <w:sz w:val="22"/>
          <w:szCs w:val="22"/>
        </w:rPr>
        <w:t xml:space="preserve"> (instructor)</w:t>
      </w:r>
    </w:p>
    <w:p>
      <w:pPr>
        <w:pStyle w:val="ListParagraph"/>
        <w:numPr>
          <w:ilvl w:val="0"/>
          <w:numId w:val="2"/>
        </w:numPr>
        <w:spacing w:after="90" w:line="264"/>
      </w:pPr>
      <w:r>
        <w:rPr>
          <w:rFonts w:ascii="Calibri" w:cs="Calibri" w:eastAsia="Calibri" w:hAnsi="Calibri"/>
          <w:sz w:val="22"/>
          <w:szCs w:val="22"/>
        </w:rPr>
        <w:t xml:space="preserve">Protection pattern reference card (which vault, which control, which workload) and the executive briefing one-pager</w:t>
      </w:r>
    </w:p>
    <w:p>
      <w:pPr>
        <w:pStyle w:val="ListParagraph"/>
        <w:numPr>
          <w:ilvl w:val="0"/>
          <w:numId w:val="2"/>
        </w:numPr>
        <w:spacing w:after="90" w:line="264"/>
      </w:pPr>
      <w:r>
        <w:rPr>
          <w:rFonts w:ascii="Calibri" w:cs="Calibri" w:eastAsia="Calibri" w:hAnsi="Calibri"/>
          <w:sz w:val="22"/>
          <w:szCs w:val="22"/>
        </w:rPr>
        <w:t xml:space="preserve">This workbook (participants) and the facilitator guide (instructor)</w:t>
      </w:r>
    </w:p>
    <w:p>
      <w:pPr>
        <w:pStyle w:val="Heading1"/>
        <w:spacing w:after="160" w:before="360"/>
      </w:pPr>
      <w:r>
        <w:rPr>
          <w:rFonts w:ascii="Calibri" w:cs="Calibri" w:eastAsia="Calibri" w:hAnsi="Calibri"/>
          <w:b/>
          <w:bCs/>
          <w:color w:val="7A0019"/>
          <w:sz w:val="32"/>
          <w:szCs w:val="32"/>
        </w:rPr>
        <w:t xml:space="preserve">2. Block 1 checkpoint: choosing the vault</w:t>
      </w:r>
    </w:p>
    <w:p>
      <w:pPr>
        <w:spacing w:after="140" w:line="276"/>
      </w:pPr>
      <w:r>
        <w:rPr>
          <w:rFonts w:ascii="Calibri" w:cs="Calibri" w:eastAsia="Calibri" w:hAnsi="Calibri"/>
          <w:sz w:val="22"/>
          <w:szCs w:val="22"/>
        </w:rPr>
        <w:t xml:space="preserve">At the end of Block 1 the facilitator asks three questions about vault selection and boundaries. Answer for the university's own workloads.</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List the university workloads that go to a Recovery Services vault and those that go to a Backup vault. What decides it?</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A vault protects datasources in its own region and, for most workloads, its own subscription. How many vaults does the university need, and how would you name and tag them?</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Backup storage redundancy is set before the first item is protected. Which vaults get GRS with cross-region restore, and which stay LRS or ZRS?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Debrief design sprint: protection in both directions for your estate</w:t>
      </w:r>
    </w:p>
    <w:p>
      <w:pPr>
        <w:spacing w:after="140" w:line="276"/>
      </w:pPr>
      <w:r>
        <w:rPr>
          <w:rFonts w:ascii="Calibri" w:cs="Calibri" w:eastAsia="Calibri" w:hAnsi="Calibri"/>
          <w:sz w:val="22"/>
          <w:szCs w:val="22"/>
        </w:rPr>
        <w:t xml:space="preserve">The lab built a Backup vault that refused its own administrator. In the twenty-minute debrief, each group maps the university's real protection flows: three on-premises sources that will back up to Azure and three Azure workloads that will be protected in Azure, with the vault, the controls, and the separation of duties for each.</w:t>
      </w:r>
    </w:p>
    <w:p>
      <w:pPr>
        <w:spacing w:after="140" w:line="276"/>
      </w:pPr>
      <w:r>
        <w:rPr>
          <w:rFonts w:ascii="Calibri" w:cs="Calibri" w:eastAsia="Calibri" w:hAnsi="Calibri"/>
          <w:sz w:val="22"/>
          <w:szCs w:val="22"/>
        </w:rPr>
        <w:t xml:space="preserve">Use the lab's results as evidence: which operation was refused, what the message said, how long the first backup took.</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Record your lab observations in Worksheet 1.</w:t>
      </w:r>
    </w:p>
    <w:p>
      <w:pPr>
        <w:pStyle w:val="ListParagraph"/>
        <w:numPr>
          <w:ilvl w:val="0"/>
          <w:numId w:val="3"/>
        </w:numPr>
        <w:spacing w:after="90" w:line="264"/>
      </w:pPr>
      <w:r>
        <w:rPr>
          <w:rFonts w:ascii="Calibri" w:cs="Calibri" w:eastAsia="Calibri" w:hAnsi="Calibri"/>
          <w:sz w:val="22"/>
          <w:szCs w:val="22"/>
        </w:rPr>
        <w:t xml:space="preserve">Complete Worksheet 2 for three on-premises sources (direction 1: on premises to Azure).</w:t>
      </w:r>
    </w:p>
    <w:p>
      <w:pPr>
        <w:pStyle w:val="ListParagraph"/>
        <w:numPr>
          <w:ilvl w:val="0"/>
          <w:numId w:val="3"/>
        </w:numPr>
        <w:spacing w:after="90" w:line="264"/>
      </w:pPr>
      <w:r>
        <w:rPr>
          <w:rFonts w:ascii="Calibri" w:cs="Calibri" w:eastAsia="Calibri" w:hAnsi="Calibri"/>
          <w:sz w:val="22"/>
          <w:szCs w:val="22"/>
        </w:rPr>
        <w:t xml:space="preserve">Complete Worksheet 3 for three Azure workloads (direction 2: protecting what lives in Azure).</w:t>
      </w:r>
    </w:p>
    <w:p>
      <w:pPr>
        <w:pStyle w:val="ListParagraph"/>
        <w:numPr>
          <w:ilvl w:val="0"/>
          <w:numId w:val="3"/>
        </w:numPr>
        <w:spacing w:after="90" w:line="264"/>
      </w:pPr>
      <w:r>
        <w:rPr>
          <w:rFonts w:ascii="Calibri" w:cs="Calibri" w:eastAsia="Calibri" w:hAnsi="Calibri"/>
          <w:sz w:val="22"/>
          <w:szCs w:val="22"/>
        </w:rPr>
        <w:t xml:space="preserve">Complete Worksheet 4: who owns what, and where the Resource Guard lives.</w:t>
      </w:r>
    </w:p>
    <w:p>
      <w:pPr>
        <w:pStyle w:val="ListParagraph"/>
        <w:numPr>
          <w:ilvl w:val="0"/>
          <w:numId w:val="3"/>
        </w:numPr>
        <w:spacing w:after="90" w:line="264"/>
      </w:pPr>
      <w:r>
        <w:rPr>
          <w:rFonts w:ascii="Calibri" w:cs="Calibri" w:eastAsia="Calibri" w:hAnsi="Calibri"/>
          <w:sz w:val="22"/>
          <w:szCs w:val="22"/>
        </w:rPr>
        <w:t xml:space="preserve">Be ready to state what you would tell your vice president 'immutable' means.</w:t>
      </w:r>
    </w:p>
    <w:p>
      <w:pPr>
        <w:pStyle w:val="Heading2"/>
        <w:spacing w:after="120" w:before="280"/>
      </w:pPr>
      <w:r>
        <w:rPr>
          <w:rFonts w:ascii="Calibri" w:cs="Calibri" w:eastAsia="Calibri" w:hAnsi="Calibri"/>
          <w:b/>
          <w:bCs/>
          <w:color w:val="7A0019"/>
          <w:sz w:val="27"/>
          <w:szCs w:val="27"/>
        </w:rPr>
        <w:t xml:space="preserve">3.2 Worksheet: lab evidence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Observation</w:t>
            </w:r>
          </w:p>
        </w:tc>
        <w:tc>
          <w:tcPr>
            <w:tcW w:type="dxa" w:w="561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result</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Protected operation attempted and the first line of the refusal</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Time from on-demand backup start to completion</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target and result</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Something that surprised you</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direction 1, on premises to Azure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Source 1</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Source 2</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Source 3</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Source (file server, application, database, backup platform image)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Mechanism: MARS, MABS, third-party platform to immutable Blob</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Target: vault (type, redundancy) or Blob container (tier, WORM interval, lock)</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Seeding and bandwidth (Data Box, throttling)</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Passphrase or key custody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direction 2, Azure workloads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Workload 1</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Workload 2</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Workload 3</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Workload (VM, Blob flat, Data Lake, Azure Files, disk, database)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Vault type and backup tier (operational, vaulted, both)</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Policy: frequency, retention, redundancy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Controls: immutability (unlocked or locked), soft delete setting, MUA</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test cadence and alternate location</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Worksheet: separation of duties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059"/>
        <w:gridCol w:w="2621"/>
        <w:gridCol w:w="2621"/>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Role</w:t>
            </w:r>
          </w:p>
        </w:tc>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Who holds it (team)</w:t>
            </w:r>
          </w:p>
        </w:tc>
        <w:tc>
          <w:tcPr>
            <w:tcW w:type="dxa" w:w="2621"/>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What they can do</w:t>
            </w:r>
          </w:p>
        </w:tc>
        <w:tc>
          <w:tcPr>
            <w:tcW w:type="dxa" w:w="2621"/>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What they cannot do</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Operator (daily work)</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Contributor</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Resource Guard owner (Reader on the guard)</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Lock decision for Blob WORM policies</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Alert recipients</w:t>
            </w:r>
          </w:p>
          <w:p>
            <w:pPr>
              <w:spacing w:after="0" w:line="400"/>
            </w:pPr>
            <w:r>
              <w:rPr>
                <w:sz w:val="20"/>
                <w:szCs w:val="20"/>
              </w:rPr>
              <w:t xml:space="preserve"> </w:t>
            </w:r>
          </w:p>
          <w:p>
            <w:pPr>
              <w:spacing w:after="0" w:line="400"/>
            </w:pPr>
            <w:r>
              <w:rPr>
                <w:sz w:val="20"/>
                <w:szCs w:val="20"/>
              </w:rPr>
              <w:t xml:space="preserve"> </w:t>
            </w:r>
          </w:p>
        </w:tc>
        <w:tc>
          <w:tcPr>
            <w:tcW w:type="dxa" w:w="2059"/>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62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3.6 What you present</w:t>
      </w:r>
    </w:p>
    <w:p>
      <w:pPr>
        <w:pStyle w:val="ListParagraph"/>
        <w:numPr>
          <w:ilvl w:val="0"/>
          <w:numId w:val="2"/>
        </w:numPr>
        <w:spacing w:after="90" w:line="264"/>
      </w:pPr>
      <w:r>
        <w:rPr>
          <w:rFonts w:ascii="Calibri" w:cs="Calibri" w:eastAsia="Calibri" w:hAnsi="Calibri"/>
          <w:sz w:val="22"/>
          <w:szCs w:val="22"/>
        </w:rPr>
        <w:t xml:space="preserve">Three sources and three workloads with vault, tier, controls, and restore cadence.</w:t>
      </w:r>
    </w:p>
    <w:p>
      <w:pPr>
        <w:pStyle w:val="ListParagraph"/>
        <w:numPr>
          <w:ilvl w:val="0"/>
          <w:numId w:val="2"/>
        </w:numPr>
        <w:spacing w:after="90" w:line="264"/>
      </w:pPr>
      <w:r>
        <w:rPr>
          <w:rFonts w:ascii="Calibri" w:cs="Calibri" w:eastAsia="Calibri" w:hAnsi="Calibri"/>
          <w:sz w:val="22"/>
          <w:szCs w:val="22"/>
        </w:rPr>
        <w:t xml:space="preserve">A separation-of-duties table with real team names (no individuals).</w:t>
      </w:r>
    </w:p>
    <w:p>
      <w:pPr>
        <w:pStyle w:val="ListParagraph"/>
        <w:numPr>
          <w:ilvl w:val="0"/>
          <w:numId w:val="2"/>
        </w:numPr>
        <w:spacing w:after="90" w:line="264"/>
      </w:pPr>
      <w:r>
        <w:rPr>
          <w:rFonts w:ascii="Calibri" w:cs="Calibri" w:eastAsia="Calibri" w:hAnsi="Calibri"/>
          <w:sz w:val="22"/>
          <w:szCs w:val="22"/>
        </w:rPr>
        <w:t xml:space="preserve">One sentence for the vice president.</w:t>
      </w:r>
    </w:p>
    <w:p>
      <w:pPr>
        <w:pStyle w:val="Heading2"/>
        <w:spacing w:after="120" w:before="280"/>
      </w:pPr>
      <w:r>
        <w:rPr>
          <w:rFonts w:ascii="Calibri" w:cs="Calibri" w:eastAsia="Calibri" w:hAnsi="Calibri"/>
          <w:b/>
          <w:bCs/>
          <w:color w:val="7A0019"/>
          <w:sz w:val="27"/>
          <w:szCs w:val="27"/>
        </w:rPr>
        <w:t xml:space="preserve">3.7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Reliability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Every workload has a vault, a policy, and a restore cadence</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to an alternate location named; evidence kept for audit</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Immutability, soft delete, and MUA assigned to every vault; passphrase custody named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Resource Guard in a separate subscription or tenant; least-privilege roles per team</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optimization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Retention length and vault redundancy justified</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Operational versus vaulted tier chosen per data class with cost stated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Operational excellence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Azure Policy named as the enforcement of backup, immutability, and soft delete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Alerts routed to action groups owned by Security</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Performance efficiency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Seeding and throttling considered for large initial backups</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Data Box seeding sized to the initial backup</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Assume the administrator is compromised. Walk through the five attack paths from the demo against your current on-premises backup system. Which ones succeed today?</w:t>
      </w:r>
    </w:p>
    <w:p>
      <w:pPr>
        <w:spacing w:after="140" w:line="276"/>
      </w:pPr>
      <w:r>
        <w:rPr>
          <w:rFonts w:ascii="Calibri" w:cs="Calibri" w:eastAsia="Calibri" w:hAnsi="Calibri"/>
          <w:i/>
          <w:iCs/>
          <w:color w:val="595959"/>
          <w:sz w:val="20"/>
          <w:szCs w:val="20"/>
        </w:rPr>
        <w:t xml:space="preserve">Block 2.</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MARS and MABS encrypt with a passphrase Microsoft cannot recover. Where does the university keep it, who can read it, and how is that tested?</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Cool and Archive as backup targets for third-party platforms: when does the cheaper tier cost more?</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Which datasource is protected by a Backup vault rather than a Recovery Services vault?</w:t>
      </w:r>
    </w:p>
    <w:p>
      <w:pPr>
        <w:pStyle w:val="ListParagraph"/>
        <w:numPr>
          <w:ilvl w:val="0"/>
          <w:numId w:val="2"/>
        </w:numPr>
        <w:spacing w:after="90" w:line="264"/>
      </w:pPr>
      <w:r>
        <w:rPr>
          <w:rFonts w:ascii="Calibri" w:cs="Calibri" w:eastAsia="Calibri" w:hAnsi="Calibri"/>
          <w:sz w:val="22"/>
          <w:szCs w:val="22"/>
        </w:rPr>
        <w:t xml:space="preserve">A. Azure VM</w:t>
      </w:r>
    </w:p>
    <w:p>
      <w:pPr>
        <w:pStyle w:val="ListParagraph"/>
        <w:numPr>
          <w:ilvl w:val="0"/>
          <w:numId w:val="2"/>
        </w:numPr>
        <w:spacing w:after="90" w:line="264"/>
      </w:pPr>
      <w:r>
        <w:rPr>
          <w:rFonts w:ascii="Calibri" w:cs="Calibri" w:eastAsia="Calibri" w:hAnsi="Calibri"/>
          <w:sz w:val="22"/>
          <w:szCs w:val="22"/>
        </w:rPr>
        <w:t xml:space="preserve">B. Azure Files</w:t>
      </w:r>
    </w:p>
    <w:p>
      <w:pPr>
        <w:pStyle w:val="ListParagraph"/>
        <w:numPr>
          <w:ilvl w:val="0"/>
          <w:numId w:val="2"/>
        </w:numPr>
        <w:spacing w:after="90" w:line="264"/>
      </w:pPr>
      <w:r>
        <w:rPr>
          <w:rFonts w:ascii="Calibri" w:cs="Calibri" w:eastAsia="Calibri" w:hAnsi="Calibri"/>
          <w:sz w:val="22"/>
          <w:szCs w:val="22"/>
        </w:rPr>
        <w:t xml:space="preserve">C. Azure Blob (vaulted backup)</w:t>
      </w:r>
    </w:p>
    <w:p>
      <w:pPr>
        <w:pStyle w:val="ListParagraph"/>
        <w:numPr>
          <w:ilvl w:val="0"/>
          <w:numId w:val="2"/>
        </w:numPr>
        <w:spacing w:after="90" w:line="264"/>
      </w:pPr>
      <w:r>
        <w:rPr>
          <w:rFonts w:ascii="Calibri" w:cs="Calibri" w:eastAsia="Calibri" w:hAnsi="Calibri"/>
          <w:sz w:val="22"/>
          <w:szCs w:val="22"/>
        </w:rPr>
        <w:t xml:space="preserve">D. SQL Server in an Azure VM</w:t>
      </w:r>
    </w:p>
    <w:p>
      <w:pPr>
        <w:pStyle w:val="Heading3"/>
        <w:spacing w:after="80" w:before="200"/>
      </w:pPr>
      <w:r>
        <w:rPr>
          <w:rFonts w:ascii="Calibri" w:cs="Calibri" w:eastAsia="Calibri" w:hAnsi="Calibri"/>
          <w:b/>
          <w:bCs/>
          <w:color w:val="595959"/>
          <w:sz w:val="23"/>
          <w:szCs w:val="23"/>
        </w:rPr>
        <w:t xml:space="preserve">2. What does enhanced soft delete add over standard soft delete?</w:t>
      </w:r>
    </w:p>
    <w:p>
      <w:pPr>
        <w:pStyle w:val="ListParagraph"/>
        <w:numPr>
          <w:ilvl w:val="0"/>
          <w:numId w:val="2"/>
        </w:numPr>
        <w:spacing w:after="90" w:line="264"/>
      </w:pPr>
      <w:r>
        <w:rPr>
          <w:rFonts w:ascii="Calibri" w:cs="Calibri" w:eastAsia="Calibri" w:hAnsi="Calibri"/>
          <w:sz w:val="22"/>
          <w:szCs w:val="22"/>
        </w:rPr>
        <w:t xml:space="preserve">A. Immutability</w:t>
      </w:r>
    </w:p>
    <w:p>
      <w:pPr>
        <w:pStyle w:val="ListParagraph"/>
        <w:numPr>
          <w:ilvl w:val="0"/>
          <w:numId w:val="2"/>
        </w:numPr>
        <w:spacing w:after="90" w:line="264"/>
      </w:pPr>
      <w:r>
        <w:rPr>
          <w:rFonts w:ascii="Calibri" w:cs="Calibri" w:eastAsia="Calibri" w:hAnsi="Calibri"/>
          <w:sz w:val="22"/>
          <w:szCs w:val="22"/>
        </w:rPr>
        <w:t xml:space="preserve">B. A configurable retention period up to 180 days and an always-on setting that cannot be turned off</w:t>
      </w:r>
    </w:p>
    <w:p>
      <w:pPr>
        <w:pStyle w:val="ListParagraph"/>
        <w:numPr>
          <w:ilvl w:val="0"/>
          <w:numId w:val="2"/>
        </w:numPr>
        <w:spacing w:after="90" w:line="264"/>
      </w:pPr>
      <w:r>
        <w:rPr>
          <w:rFonts w:ascii="Calibri" w:cs="Calibri" w:eastAsia="Calibri" w:hAnsi="Calibri"/>
          <w:sz w:val="22"/>
          <w:szCs w:val="22"/>
        </w:rPr>
        <w:t xml:space="preserve">C. Cross-region restore</w:t>
      </w:r>
    </w:p>
    <w:p>
      <w:pPr>
        <w:pStyle w:val="ListParagraph"/>
        <w:numPr>
          <w:ilvl w:val="0"/>
          <w:numId w:val="2"/>
        </w:numPr>
        <w:spacing w:after="90" w:line="264"/>
      </w:pPr>
      <w:r>
        <w:rPr>
          <w:rFonts w:ascii="Calibri" w:cs="Calibri" w:eastAsia="Calibri" w:hAnsi="Calibri"/>
          <w:sz w:val="22"/>
          <w:szCs w:val="22"/>
        </w:rPr>
        <w:t xml:space="preserve">D. Multi-user authorization</w:t>
      </w:r>
    </w:p>
    <w:p>
      <w:pPr>
        <w:pStyle w:val="Heading3"/>
        <w:spacing w:after="80" w:before="200"/>
      </w:pPr>
      <w:r>
        <w:rPr>
          <w:rFonts w:ascii="Calibri" w:cs="Calibri" w:eastAsia="Calibri" w:hAnsi="Calibri"/>
          <w:b/>
          <w:bCs/>
          <w:color w:val="595959"/>
          <w:sz w:val="23"/>
          <w:szCs w:val="23"/>
        </w:rPr>
        <w:t xml:space="preserve">3. Where should the Resource Guard be placed?</w:t>
      </w:r>
    </w:p>
    <w:p>
      <w:pPr>
        <w:pStyle w:val="ListParagraph"/>
        <w:numPr>
          <w:ilvl w:val="0"/>
          <w:numId w:val="2"/>
        </w:numPr>
        <w:spacing w:after="90" w:line="264"/>
      </w:pPr>
      <w:r>
        <w:rPr>
          <w:rFonts w:ascii="Calibri" w:cs="Calibri" w:eastAsia="Calibri" w:hAnsi="Calibri"/>
          <w:sz w:val="22"/>
          <w:szCs w:val="22"/>
        </w:rPr>
        <w:t xml:space="preserve">A. In the same resource group as the vault</w:t>
      </w:r>
    </w:p>
    <w:p>
      <w:pPr>
        <w:pStyle w:val="ListParagraph"/>
        <w:numPr>
          <w:ilvl w:val="0"/>
          <w:numId w:val="2"/>
        </w:numPr>
        <w:spacing w:after="90" w:line="264"/>
      </w:pPr>
      <w:r>
        <w:rPr>
          <w:rFonts w:ascii="Calibri" w:cs="Calibri" w:eastAsia="Calibri" w:hAnsi="Calibri"/>
          <w:sz w:val="22"/>
          <w:szCs w:val="22"/>
        </w:rPr>
        <w:t xml:space="preserve">B. In a subscription or tenant owned by a different team than the vault administrators</w:t>
      </w:r>
    </w:p>
    <w:p>
      <w:pPr>
        <w:pStyle w:val="ListParagraph"/>
        <w:numPr>
          <w:ilvl w:val="0"/>
          <w:numId w:val="2"/>
        </w:numPr>
        <w:spacing w:after="90" w:line="264"/>
      </w:pPr>
      <w:r>
        <w:rPr>
          <w:rFonts w:ascii="Calibri" w:cs="Calibri" w:eastAsia="Calibri" w:hAnsi="Calibri"/>
          <w:sz w:val="22"/>
          <w:szCs w:val="22"/>
        </w:rPr>
        <w:t xml:space="preserve">C. Inside the Backup vault</w:t>
      </w:r>
    </w:p>
    <w:p>
      <w:pPr>
        <w:pStyle w:val="ListParagraph"/>
        <w:numPr>
          <w:ilvl w:val="0"/>
          <w:numId w:val="2"/>
        </w:numPr>
        <w:spacing w:after="90" w:line="264"/>
      </w:pPr>
      <w:r>
        <w:rPr>
          <w:rFonts w:ascii="Calibri" w:cs="Calibri" w:eastAsia="Calibri" w:hAnsi="Calibri"/>
          <w:sz w:val="22"/>
          <w:szCs w:val="22"/>
        </w:rPr>
        <w:t xml:space="preserve">D. In the Microsoft-managed subscription</w:t>
      </w:r>
    </w:p>
    <w:p>
      <w:pPr>
        <w:pStyle w:val="Heading3"/>
        <w:spacing w:after="80" w:before="200"/>
      </w:pPr>
      <w:r>
        <w:rPr>
          <w:rFonts w:ascii="Calibri" w:cs="Calibri" w:eastAsia="Calibri" w:hAnsi="Calibri"/>
          <w:b/>
          <w:bCs/>
          <w:color w:val="595959"/>
          <w:sz w:val="23"/>
          <w:szCs w:val="23"/>
        </w:rPr>
        <w:t xml:space="preserve">4. What is the maximum retention of blob operational backup?</w:t>
      </w:r>
    </w:p>
    <w:p>
      <w:pPr>
        <w:pStyle w:val="ListParagraph"/>
        <w:numPr>
          <w:ilvl w:val="0"/>
          <w:numId w:val="2"/>
        </w:numPr>
        <w:spacing w:after="90" w:line="264"/>
      </w:pPr>
      <w:r>
        <w:rPr>
          <w:rFonts w:ascii="Calibri" w:cs="Calibri" w:eastAsia="Calibri" w:hAnsi="Calibri"/>
          <w:sz w:val="22"/>
          <w:szCs w:val="22"/>
        </w:rPr>
        <w:t xml:space="preserve">A. 30 days</w:t>
      </w:r>
    </w:p>
    <w:p>
      <w:pPr>
        <w:pStyle w:val="ListParagraph"/>
        <w:numPr>
          <w:ilvl w:val="0"/>
          <w:numId w:val="2"/>
        </w:numPr>
        <w:spacing w:after="90" w:line="264"/>
      </w:pPr>
      <w:r>
        <w:rPr>
          <w:rFonts w:ascii="Calibri" w:cs="Calibri" w:eastAsia="Calibri" w:hAnsi="Calibri"/>
          <w:sz w:val="22"/>
          <w:szCs w:val="22"/>
        </w:rPr>
        <w:t xml:space="preserve">B. 90 days</w:t>
      </w:r>
    </w:p>
    <w:p>
      <w:pPr>
        <w:pStyle w:val="ListParagraph"/>
        <w:numPr>
          <w:ilvl w:val="0"/>
          <w:numId w:val="2"/>
        </w:numPr>
        <w:spacing w:after="90" w:line="264"/>
      </w:pPr>
      <w:r>
        <w:rPr>
          <w:rFonts w:ascii="Calibri" w:cs="Calibri" w:eastAsia="Calibri" w:hAnsi="Calibri"/>
          <w:sz w:val="22"/>
          <w:szCs w:val="22"/>
        </w:rPr>
        <w:t xml:space="preserve">C. 360 days</w:t>
      </w:r>
    </w:p>
    <w:p>
      <w:pPr>
        <w:pStyle w:val="ListParagraph"/>
        <w:numPr>
          <w:ilvl w:val="0"/>
          <w:numId w:val="2"/>
        </w:numPr>
        <w:spacing w:after="90" w:line="264"/>
      </w:pPr>
      <w:r>
        <w:rPr>
          <w:rFonts w:ascii="Calibri" w:cs="Calibri" w:eastAsia="Calibri" w:hAnsi="Calibri"/>
          <w:sz w:val="22"/>
          <w:szCs w:val="22"/>
        </w:rPr>
        <w:t xml:space="preserve">D. 10 years</w:t>
      </w:r>
    </w:p>
    <w:p>
      <w:pPr>
        <w:pStyle w:val="Heading3"/>
        <w:spacing w:after="80" w:before="200"/>
      </w:pPr>
      <w:r>
        <w:rPr>
          <w:rFonts w:ascii="Calibri" w:cs="Calibri" w:eastAsia="Calibri" w:hAnsi="Calibri"/>
          <w:b/>
          <w:bCs/>
          <w:color w:val="595959"/>
          <w:sz w:val="23"/>
          <w:szCs w:val="23"/>
        </w:rPr>
        <w:t xml:space="preserve">5. Which statement about hierarchical namespace accounts is correct?</w:t>
      </w:r>
    </w:p>
    <w:p>
      <w:pPr>
        <w:pStyle w:val="ListParagraph"/>
        <w:numPr>
          <w:ilvl w:val="0"/>
          <w:numId w:val="2"/>
        </w:numPr>
        <w:spacing w:after="90" w:line="264"/>
      </w:pPr>
      <w:r>
        <w:rPr>
          <w:rFonts w:ascii="Calibri" w:cs="Calibri" w:eastAsia="Calibri" w:hAnsi="Calibri"/>
          <w:sz w:val="22"/>
          <w:szCs w:val="22"/>
        </w:rPr>
        <w:t xml:space="preserve">A. They support operational blob backup</w:t>
      </w:r>
    </w:p>
    <w:p>
      <w:pPr>
        <w:pStyle w:val="ListParagraph"/>
        <w:numPr>
          <w:ilvl w:val="0"/>
          <w:numId w:val="2"/>
        </w:numPr>
        <w:spacing w:after="90" w:line="264"/>
      </w:pPr>
      <w:r>
        <w:rPr>
          <w:rFonts w:ascii="Calibri" w:cs="Calibri" w:eastAsia="Calibri" w:hAnsi="Calibri"/>
          <w:sz w:val="22"/>
          <w:szCs w:val="22"/>
        </w:rPr>
        <w:t xml:space="preserve">B. They are protected with vaulted backup for Data Lake Storage only</w:t>
      </w:r>
    </w:p>
    <w:p>
      <w:pPr>
        <w:pStyle w:val="ListParagraph"/>
        <w:numPr>
          <w:ilvl w:val="0"/>
          <w:numId w:val="2"/>
        </w:numPr>
        <w:spacing w:after="90" w:line="264"/>
      </w:pPr>
      <w:r>
        <w:rPr>
          <w:rFonts w:ascii="Calibri" w:cs="Calibri" w:eastAsia="Calibri" w:hAnsi="Calibri"/>
          <w:sz w:val="22"/>
          <w:szCs w:val="22"/>
        </w:rPr>
        <w:t xml:space="preserve">C. They cannot be backed up</w:t>
      </w:r>
    </w:p>
    <w:p>
      <w:pPr>
        <w:pStyle w:val="ListParagraph"/>
        <w:numPr>
          <w:ilvl w:val="0"/>
          <w:numId w:val="2"/>
        </w:numPr>
        <w:spacing w:after="90" w:line="264"/>
      </w:pPr>
      <w:r>
        <w:rPr>
          <w:rFonts w:ascii="Calibri" w:cs="Calibri" w:eastAsia="Calibri" w:hAnsi="Calibri"/>
          <w:sz w:val="22"/>
          <w:szCs w:val="22"/>
        </w:rPr>
        <w:t xml:space="preserve">D. They require a Recovery Services vault</w:t>
      </w:r>
    </w:p>
    <w:p>
      <w:pPr>
        <w:pStyle w:val="Heading3"/>
        <w:spacing w:after="80" w:before="200"/>
      </w:pPr>
      <w:r>
        <w:rPr>
          <w:rFonts w:ascii="Calibri" w:cs="Calibri" w:eastAsia="Calibri" w:hAnsi="Calibri"/>
          <w:b/>
          <w:bCs/>
          <w:color w:val="595959"/>
          <w:sz w:val="23"/>
          <w:szCs w:val="23"/>
        </w:rPr>
        <w:t xml:space="preserve">6. An unlocked container-level WORM policy does which of the following?</w:t>
      </w:r>
    </w:p>
    <w:p>
      <w:pPr>
        <w:pStyle w:val="ListParagraph"/>
        <w:numPr>
          <w:ilvl w:val="0"/>
          <w:numId w:val="2"/>
        </w:numPr>
        <w:spacing w:after="90" w:line="264"/>
      </w:pPr>
      <w:r>
        <w:rPr>
          <w:rFonts w:ascii="Calibri" w:cs="Calibri" w:eastAsia="Calibri" w:hAnsi="Calibri"/>
          <w:sz w:val="22"/>
          <w:szCs w:val="22"/>
        </w:rPr>
        <w:t xml:space="preserve">A. Blocks blob deletes but not storage account deletion</w:t>
      </w:r>
    </w:p>
    <w:p>
      <w:pPr>
        <w:pStyle w:val="ListParagraph"/>
        <w:numPr>
          <w:ilvl w:val="0"/>
          <w:numId w:val="2"/>
        </w:numPr>
        <w:spacing w:after="90" w:line="264"/>
      </w:pPr>
      <w:r>
        <w:rPr>
          <w:rFonts w:ascii="Calibri" w:cs="Calibri" w:eastAsia="Calibri" w:hAnsi="Calibri"/>
          <w:sz w:val="22"/>
          <w:szCs w:val="22"/>
        </w:rPr>
        <w:t xml:space="preserve">B. Blocks storage account deletion</w:t>
      </w:r>
    </w:p>
    <w:p>
      <w:pPr>
        <w:pStyle w:val="ListParagraph"/>
        <w:numPr>
          <w:ilvl w:val="0"/>
          <w:numId w:val="2"/>
        </w:numPr>
        <w:spacing w:after="90" w:line="264"/>
      </w:pPr>
      <w:r>
        <w:rPr>
          <w:rFonts w:ascii="Calibri" w:cs="Calibri" w:eastAsia="Calibri" w:hAnsi="Calibri"/>
          <w:sz w:val="22"/>
          <w:szCs w:val="22"/>
        </w:rPr>
        <w:t xml:space="preserve">C. Blocks reads</w:t>
      </w:r>
    </w:p>
    <w:p>
      <w:pPr>
        <w:pStyle w:val="ListParagraph"/>
        <w:numPr>
          <w:ilvl w:val="0"/>
          <w:numId w:val="2"/>
        </w:numPr>
        <w:spacing w:after="90" w:line="264"/>
      </w:pPr>
      <w:r>
        <w:rPr>
          <w:rFonts w:ascii="Calibri" w:cs="Calibri" w:eastAsia="Calibri" w:hAnsi="Calibri"/>
          <w:sz w:val="22"/>
          <w:szCs w:val="22"/>
        </w:rPr>
        <w:t xml:space="preserve">D. Nothing until it is locked</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Choose the vault by datasource; set redundancy before protecting items; plan vault boundaries by region, ownership, and workload class.</w:t>
      </w:r>
    </w:p>
    <w:p>
      <w:pPr>
        <w:pStyle w:val="ListParagraph"/>
        <w:numPr>
          <w:ilvl w:val="0"/>
          <w:numId w:val="2"/>
        </w:numPr>
        <w:spacing w:after="90" w:line="264"/>
      </w:pPr>
      <w:r>
        <w:rPr>
          <w:rFonts w:ascii="Calibri" w:cs="Calibri" w:eastAsia="Calibri" w:hAnsi="Calibri"/>
          <w:sz w:val="22"/>
          <w:szCs w:val="22"/>
        </w:rPr>
        <w:t xml:space="preserve">Immutability, enhanced soft delete, and multi-user authorization together resist a compromised administrator; alerts and least-privilege roles make the attempts visible and rare.</w:t>
      </w:r>
    </w:p>
    <w:p>
      <w:pPr>
        <w:pStyle w:val="ListParagraph"/>
        <w:numPr>
          <w:ilvl w:val="0"/>
          <w:numId w:val="2"/>
        </w:numPr>
        <w:spacing w:after="90" w:line="264"/>
      </w:pPr>
      <w:r>
        <w:rPr>
          <w:rFonts w:ascii="Calibri" w:cs="Calibri" w:eastAsia="Calibri" w:hAnsi="Calibri"/>
          <w:sz w:val="22"/>
          <w:szCs w:val="22"/>
        </w:rPr>
        <w:t xml:space="preserve">Protect both directions, keep the copy outside the blast radius, and put the Resource Guard, not the vault, in the separate subscription or tenant.</w:t>
      </w:r>
    </w:p>
    <w:p>
      <w:pPr>
        <w:pStyle w:val="ListParagraph"/>
        <w:numPr>
          <w:ilvl w:val="0"/>
          <w:numId w:val="2"/>
        </w:numPr>
        <w:spacing w:after="90" w:line="264"/>
      </w:pPr>
      <w:r>
        <w:rPr>
          <w:rFonts w:ascii="Calibri" w:cs="Calibri" w:eastAsia="Calibri" w:hAnsi="Calibri"/>
          <w:sz w:val="22"/>
          <w:szCs w:val="22"/>
        </w:rPr>
        <w:t xml:space="preserve">A backup is only as good as its last tested restore; restore to an alternate location and keep the evidence.</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Immutable backup target for on-premises protection.</w:t>
            </w:r>
          </w:p>
          <w:p>
            <w:pPr>
              <w:spacing w:after="60" w:line="264"/>
            </w:pPr>
            <w:r>
              <w:rPr>
                <w:rFonts w:ascii="Calibri" w:cs="Calibri" w:eastAsia="Calibri" w:hAnsi="Calibri"/>
                <w:sz w:val="22"/>
                <w:szCs w:val="22"/>
              </w:rPr>
              <w:t xml:space="preserve">Next: Session 4, resilience, disaster recovery, and multi-region design: what redundancy guarantees and what it does not, Site Recovery, and the RPO and RTO design method.</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3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3 Participant Workbook</dc:title>
  <dc:creator>Gamut Technology Services</dc:creator>
  <cp:lastModifiedBy>Un-named</cp:lastModifiedBy>
  <cp:revision>1</cp:revision>
  <dcterms:created xsi:type="dcterms:W3CDTF">2026-10-15T13:46:14.327Z</dcterms:created>
  <dcterms:modified xsi:type="dcterms:W3CDTF">2026-10-15T13:46:14.327Z</dcterms:modified>
</cp:coreProperties>
</file>

<file path=docProps/custom.xml><?xml version="1.0" encoding="utf-8"?>
<Properties xmlns="http://schemas.openxmlformats.org/officeDocument/2006/custom-properties" xmlns:vt="http://schemas.openxmlformats.org/officeDocument/2006/docPropsVTypes"/>
</file>