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Calibri" w:cs="Calibri" w:eastAsia="Calibri" w:hAnsi="Calibri"/>
          <w:b/>
          <w:bCs/>
          <w:color w:val="2A7F86"/>
          <w:spacing w:val="60"/>
          <w:sz w:val="22"/>
          <w:szCs w:val="22"/>
        </w:rPr>
        <w:t xml:space="preserve">CALDER BAY PORT AUTHORITY  |  OFFICE OF THE CHIEF ENGINEER</w:t>
      </w:r>
    </w:p>
    <w:p>
      <w:pPr>
        <w:pBdr>
          <w:bottom w:val="single" w:color="1F3A5F" w:sz="18" w:space="10"/>
        </w:pBdr>
        <w:spacing w:after="120"/>
      </w:pPr>
      <w:r>
        <w:rPr>
          <w:rFonts w:ascii="Calibri" w:cs="Calibri" w:eastAsia="Calibri" w:hAnsi="Calibri"/>
          <w:b/>
          <w:bCs/>
          <w:color w:val="1F3A5F"/>
          <w:sz w:val="60"/>
          <w:szCs w:val="60"/>
        </w:rPr>
        <w:t xml:space="preserve">Harbor Point Resilience Assessment</w:t>
      </w:r>
    </w:p>
    <w:p>
      <w:pPr>
        <w:spacing w:after="500" w:before="200"/>
      </w:pPr>
      <w:r>
        <w:rPr>
          <w:rFonts w:ascii="Calibri" w:cs="Calibri" w:eastAsia="Calibri" w:hAnsi="Calibri"/>
          <w:color w:val="5A6470"/>
          <w:sz w:val="30"/>
          <w:szCs w:val="30"/>
        </w:rPr>
        <w:t xml:space="preserve">Project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Document control</w:t>
            </w:r>
          </w:p>
        </w:tc>
        <w:tc>
          <w:tcPr>
            <w:tcW w:type="dxa" w:w="65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Document number</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HPRA-SPEC-001</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Version</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2.1 (baseline for contract CBPA-2026-RA-0417)</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Issue date</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May 18, 2026</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Issued by</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Dr. Anneliese Thorvaldsen, Chief Engineer, Calder Bay Port Authority</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Program management support</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Marrowstone Advisory Group (Marisol Vantrease, Program Manager)</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Client liaison</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Priya Ramaswamy-Bell, Calder Bay Port Authority</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Contracts and compliance</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Tomasz Grelling, Marrowstone Advisory Group</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bCs/>
                <w:sz w:val="20"/>
                <w:szCs w:val="20"/>
              </w:rPr>
              <w:t xml:space="preserve">Status</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b w:val="false"/>
                <w:bCs w:val="false"/>
                <w:sz w:val="20"/>
                <w:szCs w:val="20"/>
              </w:rPr>
              <w:t xml:space="preserve">Approved. Dates and values in this document are contractual unless changed by written modification.</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A7F86" w:sz="24"/>
              <w:bottom w:val="none" w:color="FFFFFF" w:sz="0"/>
              <w:right w:val="none" w:color="FFFFFF" w:sz="0"/>
            </w:tcBorders>
            <w:shd w:fill="EAF1F6" w:color="auto" w:val="clear"/>
            <w:tcMar>
              <w:top w:type="dxa" w:w="120"/>
              <w:left w:type="dxa" w:w="200"/>
              <w:bottom w:type="dxa" w:w="100"/>
              <w:right w:type="dxa" w:w="160"/>
            </w:tcMar>
          </w:tcPr>
          <w:p>
            <w:pPr>
              <w:spacing w:after="60"/>
            </w:pPr>
            <w:r>
              <w:rPr>
                <w:rFonts w:ascii="Calibri" w:cs="Calibri" w:eastAsia="Calibri" w:hAnsi="Calibri"/>
                <w:b/>
                <w:bCs/>
                <w:color w:val="1F3A5F"/>
                <w:sz w:val="22"/>
                <w:szCs w:val="22"/>
              </w:rPr>
              <w:t xml:space="preserve">How to use this document</w:t>
            </w:r>
          </w:p>
          <w:p>
            <w:pPr>
              <w:spacing w:after="60" w:line="270"/>
            </w:pPr>
            <w:r>
              <w:rPr>
                <w:rFonts w:ascii="Calibri" w:cs="Calibri" w:eastAsia="Calibri" w:hAnsi="Calibri"/>
                <w:sz w:val="21"/>
                <w:szCs w:val="21"/>
              </w:rPr>
              <w:t xml:space="preserve">This Specification is the single reference for scope, requirements, milestone dates, evaluation criteria, constraints, and reporting rules for the Harbor Point Resilience Assessment.</w:t>
            </w:r>
          </w:p>
          <w:p>
            <w:pPr>
              <w:spacing w:after="60" w:line="270"/>
            </w:pPr>
            <w:r>
              <w:rPr>
                <w:rFonts w:ascii="Calibri" w:cs="Calibri" w:eastAsia="Calibri" w:hAnsi="Calibri"/>
                <w:sz w:val="21"/>
                <w:szCs w:val="21"/>
              </w:rPr>
              <w:t xml:space="preserve">Where a working document (status notes, registers, meeting notes) differs from this Specification, this Specification governs until a written contract modification is executed. See Section 8.3.</w:t>
            </w:r>
          </w:p>
        </w:tc>
      </w:tr>
    </w:tbl>
    <w:p>
      <w:r>
        <w:br w:type="page"/>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1. Purpose and Background</w:t>
      </w:r>
    </w:p>
    <w:p>
      <w:pPr>
        <w:spacing w:after="140" w:before="0" w:line="288"/>
      </w:pPr>
      <w:r>
        <w:rPr>
          <w:rFonts w:ascii="Calibri" w:cs="Calibri" w:eastAsia="Calibri" w:hAnsi="Calibri"/>
          <w:sz w:val="22"/>
          <w:szCs w:val="22"/>
        </w:rPr>
        <w:t xml:space="preserve">Harbor Point is the largest working waterfront in Calder Bay. It handles containerized cargo, dry bulk, rail transfer, and marine fuel, and it houses the electrical distribution that keeps those operations running. Most of the complex was built between 1968 and 1994. Since 2019 the Port Authority has recorded three flood events that reached the deck of the Fuel Dock and two that interrupted power at Substation Row.</w:t>
      </w:r>
    </w:p>
    <w:p>
      <w:pPr>
        <w:spacing w:after="140" w:before="0" w:line="288"/>
      </w:pPr>
      <w:r>
        <w:rPr>
          <w:rFonts w:ascii="Calibri" w:cs="Calibri" w:eastAsia="Calibri" w:hAnsi="Calibri"/>
          <w:sz w:val="22"/>
          <w:szCs w:val="22"/>
        </w:rPr>
        <w:t xml:space="preserve">The Calder Bay Port Authority (CBPA) Board of Commissioners has directed the Office of the Chief Engineer to produce an evidence-based picture of the condition and flood exposure of every asset at Harbor Point, and a prioritized, costed roadmap for remediation. The Harbor Point Resilience Assessment (the Program) delivers that picture and that roadmap.</w:t>
      </w:r>
    </w:p>
    <w:p>
      <w:pPr>
        <w:spacing w:after="140" w:before="0" w:line="288"/>
      </w:pPr>
      <w:r>
        <w:rPr>
          <w:rFonts w:ascii="Calibri" w:cs="Calibri" w:eastAsia="Calibri" w:hAnsi="Calibri"/>
          <w:sz w:val="22"/>
          <w:szCs w:val="22"/>
        </w:rPr>
        <w:t xml:space="preserve">The Program has two linked parts. First, a baseline condition inspection of all in-scope assets, managed by Marrowstone Advisory Group under contract CBPA-2026-RA-0417. Second, a resilience modeling and remediation roadmap work package, for which four teams have been invited to submit technical approaches: Northlight Systems, Bracken Ridge Engineering, Sable Marine Analytics, and Verdant Quay Partners. An evaluation panel will score the four approaches against this Specification and recommend one.</w:t>
      </w:r>
    </w:p>
    <w:p>
      <w:pPr>
        <w:spacing w:after="140" w:before="0" w:line="288"/>
      </w:pPr>
      <w:r>
        <w:rPr>
          <w:rFonts w:ascii="Calibri" w:cs="Calibri" w:eastAsia="Calibri" w:hAnsi="Calibri"/>
          <w:sz w:val="22"/>
          <w:szCs w:val="22"/>
        </w:rPr>
        <w:t xml:space="preserve">This document sets out what must be delivered, by when, within what limits, and how progress is to be reported. It is written so that a reader who is new to the Program can understand the commitments without reading any other document.</w:t>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2. Scope of the Assessment</w:t>
      </w:r>
    </w:p>
    <w:p>
      <w:pPr>
        <w:pStyle w:val="Heading2"/>
        <w:keepNext/>
        <w:spacing w:after="110" w:before="240"/>
      </w:pPr>
      <w:r>
        <w:rPr>
          <w:rFonts w:ascii="Calibri" w:cs="Calibri" w:eastAsia="Calibri" w:hAnsi="Calibri"/>
          <w:b/>
          <w:bCs/>
          <w:color w:val="2A7F86"/>
          <w:sz w:val="26"/>
          <w:szCs w:val="26"/>
        </w:rPr>
        <w:t xml:space="preserve">2.1 Facilities in scope</w:t>
      </w:r>
    </w:p>
    <w:p>
      <w:pPr>
        <w:spacing w:after="140" w:before="0" w:line="288"/>
      </w:pPr>
      <w:r>
        <w:rPr>
          <w:rFonts w:ascii="Calibri" w:cs="Calibri" w:eastAsia="Calibri" w:hAnsi="Calibri"/>
          <w:sz w:val="22"/>
          <w:szCs w:val="22"/>
        </w:rPr>
        <w:t xml:space="preserve">Six facilities are in scope. Together they contain 12,480 inventoried assets. Asset counts were baselined on June 26, 2026 and are fixed for the purpose of measuring inspection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900"/>
        <w:gridCol w:w="3460"/>
      </w:tblGrid>
      <w:tr>
        <w:trPr>
          <w:cantSplit/>
          <w:tblHeader/>
        </w:trPr>
        <w:tc>
          <w:tcPr>
            <w:tcW w:type="dxa" w:w="2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Facility</w:t>
            </w:r>
          </w:p>
        </w:tc>
        <w:tc>
          <w:tcPr>
            <w:tcW w:type="dxa" w:w="2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Primary function</w:t>
            </w:r>
          </w:p>
        </w:tc>
        <w:tc>
          <w:tcPr>
            <w:tcW w:type="dxa" w:w="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Assets</w:t>
            </w:r>
          </w:p>
        </w:tc>
        <w:tc>
          <w:tcPr>
            <w:tcW w:type="dxa" w:w="34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Principal asset classes</w:t>
            </w:r>
          </w:p>
        </w:tc>
      </w:tr>
      <w:tr>
        <w:trPr>
          <w:cantSplit/>
        </w:trPr>
        <w:tc>
          <w:tcPr>
            <w:tcW w:type="dxa" w:w="2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4 Container Terminal</w:t>
            </w:r>
          </w:p>
        </w:tc>
        <w:tc>
          <w:tcPr>
            <w:tcW w:type="dxa" w:w="2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Container handling, refrigerated cargo</w:t>
            </w:r>
          </w:p>
        </w:tc>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34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Piles, deck and fenders, cranes and rail, reefer racks, electrical</w:t>
            </w:r>
          </w:p>
        </w:tc>
      </w:tr>
      <w:tr>
        <w:trPr>
          <w:cantSplit/>
        </w:trPr>
        <w:tc>
          <w:tcPr>
            <w:tcW w:type="dxa" w:w="2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7 Bulk Terminal</w:t>
            </w:r>
          </w:p>
        </w:tc>
        <w:tc>
          <w:tcPr>
            <w:tcW w:type="dxa" w:w="2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Dry bulk loading and storage</w:t>
            </w:r>
          </w:p>
        </w:tc>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2,460</w:t>
            </w:r>
          </w:p>
        </w:tc>
        <w:tc>
          <w:tcPr>
            <w:tcW w:type="dxa" w:w="34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Piles (majority underwater), deck, conveyors and loaders, electrical</w:t>
            </w:r>
          </w:p>
        </w:tc>
      </w:tr>
      <w:tr>
        <w:trPr>
          <w:cantSplit/>
        </w:trPr>
        <w:tc>
          <w:tcPr>
            <w:tcW w:type="dxa" w:w="2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North Breakwater</w:t>
            </w:r>
          </w:p>
        </w:tc>
        <w:tc>
          <w:tcPr>
            <w:tcW w:type="dxa" w:w="2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Wave protection for the inner harbor</w:t>
            </w:r>
          </w:p>
        </w:tc>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1,180</w:t>
            </w:r>
          </w:p>
        </w:tc>
        <w:tc>
          <w:tcPr>
            <w:tcW w:type="dxa" w:w="34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Armor stone sections, crest and walkway, navigation aids, instruments</w:t>
            </w:r>
          </w:p>
        </w:tc>
      </w:tr>
      <w:tr>
        <w:trPr>
          <w:cantSplit/>
        </w:trPr>
        <w:tc>
          <w:tcPr>
            <w:tcW w:type="dxa" w:w="2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Harbor Point Rail Yard</w:t>
            </w:r>
          </w:p>
        </w:tc>
        <w:tc>
          <w:tcPr>
            <w:tcW w:type="dxa" w:w="2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Rail transfer and staging</w:t>
            </w:r>
          </w:p>
        </w:tc>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2,340</w:t>
            </w:r>
          </w:p>
        </w:tc>
        <w:tc>
          <w:tcPr>
            <w:tcW w:type="dxa" w:w="34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Track and turnouts, culverts, signals, retaining walls, lighting</w:t>
            </w:r>
          </w:p>
        </w:tc>
      </w:tr>
      <w:tr>
        <w:trPr>
          <w:cantSplit/>
        </w:trPr>
        <w:tc>
          <w:tcPr>
            <w:tcW w:type="dxa" w:w="2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Substation Row</w:t>
            </w:r>
          </w:p>
        </w:tc>
        <w:tc>
          <w:tcPr>
            <w:tcW w:type="dxa" w:w="2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Electrical distribution for the complex</w:t>
            </w:r>
          </w:p>
        </w:tc>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1,560</w:t>
            </w:r>
          </w:p>
        </w:tc>
        <w:tc>
          <w:tcPr>
            <w:tcW w:type="dxa" w:w="34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Transformers, switchgear, cable vaults, protection and control</w:t>
            </w:r>
          </w:p>
        </w:tc>
      </w:tr>
      <w:tr>
        <w:trPr>
          <w:cantSplit/>
        </w:trPr>
        <w:tc>
          <w:tcPr>
            <w:tcW w:type="dxa" w:w="2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Fuel Dock and Tank Farm</w:t>
            </w:r>
          </w:p>
        </w:tc>
        <w:tc>
          <w:tcPr>
            <w:tcW w:type="dxa" w:w="2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Marine fuel storage and transfer</w:t>
            </w:r>
          </w:p>
        </w:tc>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1,820</w:t>
            </w:r>
          </w:p>
        </w:tc>
        <w:tc>
          <w:tcPr>
            <w:tcW w:type="dxa" w:w="34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Tanks and containment, piping and valves, pumps, piles, fire protection</w:t>
            </w:r>
          </w:p>
        </w:tc>
      </w:tr>
      <w:tr>
        <w:trPr>
          <w:cantSplit/>
        </w:trPr>
        <w:tc>
          <w:tcPr>
            <w:tcW w:type="dxa" w:w="2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Total</w:t>
            </w:r>
          </w:p>
        </w:tc>
        <w:tc>
          <w:tcPr>
            <w:tcW w:type="dxa" w:w="2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
            </w:r>
          </w:p>
        </w:tc>
        <w:tc>
          <w:tcPr>
            <w:tcW w:type="dxa" w:w="9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12,480</w:t>
            </w:r>
          </w:p>
        </w:tc>
        <w:tc>
          <w:tcPr>
            <w:tcW w:type="dxa" w:w="34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
            </w:r>
          </w:p>
        </w:tc>
      </w:tr>
    </w:tbl>
    <w:p>
      <w:pPr>
        <w:spacing w:after="120"/>
      </w:pPr>
    </w:p>
    <w:p>
      <w:pPr>
        <w:pStyle w:val="Heading2"/>
        <w:keepNext/>
        <w:spacing w:after="110" w:before="240"/>
      </w:pPr>
      <w:r>
        <w:rPr>
          <w:rFonts w:ascii="Calibri" w:cs="Calibri" w:eastAsia="Calibri" w:hAnsi="Calibri"/>
          <w:b/>
          <w:bCs/>
          <w:color w:val="2A7F86"/>
          <w:sz w:val="26"/>
          <w:szCs w:val="26"/>
        </w:rPr>
        <w:t xml:space="preserve">2.2 Work in scope</w:t>
      </w:r>
    </w:p>
    <w:p>
      <w:pPr>
        <w:pStyle w:val="ListParagraph"/>
        <w:numPr>
          <w:ilvl w:val="0"/>
          <w:numId w:val="2"/>
        </w:numPr>
        <w:spacing w:after="70" w:line="280"/>
      </w:pPr>
      <w:r>
        <w:rPr>
          <w:rFonts w:ascii="Calibri" w:cs="Calibri" w:eastAsia="Calibri" w:hAnsi="Calibri"/>
          <w:sz w:val="22"/>
          <w:szCs w:val="22"/>
        </w:rPr>
        <w:t xml:space="preserve">Visual and, where specified, hands-on inspection of every in-scope asset, with a condition score on the five-point scale in Appendix B.</w:t>
      </w:r>
    </w:p>
    <w:p>
      <w:pPr>
        <w:pStyle w:val="ListParagraph"/>
        <w:numPr>
          <w:ilvl w:val="0"/>
          <w:numId w:val="2"/>
        </w:numPr>
        <w:spacing w:after="70" w:line="280"/>
      </w:pPr>
      <w:r>
        <w:rPr>
          <w:rFonts w:ascii="Calibri" w:cs="Calibri" w:eastAsia="Calibri" w:hAnsi="Calibri"/>
          <w:sz w:val="22"/>
          <w:szCs w:val="22"/>
        </w:rPr>
        <w:t xml:space="preserve">Underwater inspection of piles and submerged substructure at Pier 4, Pier 7, and the Fuel Dock.</w:t>
      </w:r>
    </w:p>
    <w:p>
      <w:pPr>
        <w:pStyle w:val="ListParagraph"/>
        <w:numPr>
          <w:ilvl w:val="0"/>
          <w:numId w:val="2"/>
        </w:numPr>
        <w:spacing w:after="70" w:line="280"/>
      </w:pPr>
      <w:r>
        <w:rPr>
          <w:rFonts w:ascii="Calibri" w:cs="Calibri" w:eastAsia="Calibri" w:hAnsi="Calibri"/>
          <w:sz w:val="22"/>
          <w:szCs w:val="22"/>
        </w:rPr>
        <w:t xml:space="preserve">Survey of asset elevation and comparison to the CBPA design flood elevations in Section 4.</w:t>
      </w:r>
    </w:p>
    <w:p>
      <w:pPr>
        <w:pStyle w:val="ListParagraph"/>
        <w:numPr>
          <w:ilvl w:val="0"/>
          <w:numId w:val="2"/>
        </w:numPr>
        <w:spacing w:after="70" w:line="280"/>
      </w:pPr>
      <w:r>
        <w:rPr>
          <w:rFonts w:ascii="Calibri" w:cs="Calibri" w:eastAsia="Calibri" w:hAnsi="Calibri"/>
          <w:sz w:val="22"/>
          <w:szCs w:val="22"/>
        </w:rPr>
        <w:t xml:space="preserve">Assignment of a risk tier to each asset and identification of dependencies between assets.</w:t>
      </w:r>
    </w:p>
    <w:p>
      <w:pPr>
        <w:pStyle w:val="ListParagraph"/>
        <w:numPr>
          <w:ilvl w:val="0"/>
          <w:numId w:val="2"/>
        </w:numPr>
        <w:spacing w:after="70" w:line="280"/>
      </w:pPr>
      <w:r>
        <w:rPr>
          <w:rFonts w:ascii="Calibri" w:cs="Calibri" w:eastAsia="Calibri" w:hAnsi="Calibri"/>
          <w:sz w:val="22"/>
          <w:szCs w:val="22"/>
        </w:rPr>
        <w:t xml:space="preserve">Evaluation of four technical approaches for resilience modeling and the remediation roadmap, and a written recommendation.</w:t>
      </w:r>
    </w:p>
    <w:p>
      <w:pPr>
        <w:pStyle w:val="ListParagraph"/>
        <w:numPr>
          <w:ilvl w:val="0"/>
          <w:numId w:val="2"/>
        </w:numPr>
        <w:spacing w:after="70" w:line="280"/>
      </w:pPr>
      <w:r>
        <w:rPr>
          <w:rFonts w:ascii="Calibri" w:cs="Calibri" w:eastAsia="Calibri" w:hAnsi="Calibri"/>
          <w:sz w:val="22"/>
          <w:szCs w:val="22"/>
        </w:rPr>
        <w:t xml:space="preserve">A final resilience report, a prioritized and costed remediation roadmap, and a briefing to the CBPA Board of Commissioners.</w:t>
      </w:r>
    </w:p>
    <w:p>
      <w:pPr>
        <w:pStyle w:val="Heading2"/>
        <w:keepNext/>
        <w:spacing w:after="110" w:before="240"/>
      </w:pPr>
      <w:r>
        <w:rPr>
          <w:rFonts w:ascii="Calibri" w:cs="Calibri" w:eastAsia="Calibri" w:hAnsi="Calibri"/>
          <w:b/>
          <w:bCs/>
          <w:color w:val="2A7F86"/>
          <w:sz w:val="26"/>
          <w:szCs w:val="26"/>
        </w:rPr>
        <w:t xml:space="preserve">2.3 Out of scope</w:t>
      </w:r>
    </w:p>
    <w:p>
      <w:pPr>
        <w:pStyle w:val="ListParagraph"/>
        <w:numPr>
          <w:ilvl w:val="0"/>
          <w:numId w:val="2"/>
        </w:numPr>
        <w:spacing w:after="70" w:line="280"/>
      </w:pPr>
      <w:r>
        <w:rPr>
          <w:rFonts w:ascii="Calibri" w:cs="Calibri" w:eastAsia="Calibri" w:hAnsi="Calibri"/>
          <w:sz w:val="22"/>
          <w:szCs w:val="22"/>
        </w:rPr>
        <w:t xml:space="preserve">Design or construction of any remediation measure.</w:t>
      </w:r>
    </w:p>
    <w:p>
      <w:pPr>
        <w:pStyle w:val="ListParagraph"/>
        <w:numPr>
          <w:ilvl w:val="0"/>
          <w:numId w:val="2"/>
        </w:numPr>
        <w:spacing w:after="70" w:line="280"/>
      </w:pPr>
      <w:r>
        <w:rPr>
          <w:rFonts w:ascii="Calibri" w:cs="Calibri" w:eastAsia="Calibri" w:hAnsi="Calibri"/>
          <w:sz w:val="22"/>
          <w:szCs w:val="22"/>
        </w:rPr>
        <w:t xml:space="preserve">Assets owned by terminal tenants, shipping lines, or the regional rail operator beyond the yard boundary.</w:t>
      </w:r>
    </w:p>
    <w:p>
      <w:pPr>
        <w:pStyle w:val="ListParagraph"/>
        <w:numPr>
          <w:ilvl w:val="0"/>
          <w:numId w:val="2"/>
        </w:numPr>
        <w:spacing w:after="70" w:line="280"/>
      </w:pPr>
      <w:r>
        <w:rPr>
          <w:rFonts w:ascii="Calibri" w:cs="Calibri" w:eastAsia="Calibri" w:hAnsi="Calibri"/>
          <w:sz w:val="22"/>
          <w:szCs w:val="22"/>
        </w:rPr>
        <w:t xml:space="preserve">Dredging, sediment, and water quality studies.</w:t>
      </w:r>
    </w:p>
    <w:p>
      <w:pPr>
        <w:pStyle w:val="ListParagraph"/>
        <w:numPr>
          <w:ilvl w:val="0"/>
          <w:numId w:val="2"/>
        </w:numPr>
        <w:spacing w:after="70" w:line="280"/>
      </w:pPr>
      <w:r>
        <w:rPr>
          <w:rFonts w:ascii="Calibri" w:cs="Calibri" w:eastAsia="Calibri" w:hAnsi="Calibri"/>
          <w:sz w:val="22"/>
          <w:szCs w:val="22"/>
        </w:rPr>
        <w:t xml:space="preserve">Cybersecurity assessment of operational technology. This is covered by a separate CBPA program.</w:t>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3. Program Phases and Milestones</w:t>
      </w:r>
    </w:p>
    <w:p>
      <w:pPr>
        <w:spacing w:after="140" w:before="0" w:line="288"/>
      </w:pPr>
      <w:r>
        <w:rPr>
          <w:rFonts w:ascii="Calibri" w:cs="Calibri" w:eastAsia="Calibri" w:hAnsi="Calibri"/>
          <w:sz w:val="22"/>
          <w:szCs w:val="22"/>
        </w:rPr>
        <w:t xml:space="preserve">The Program runs from June 1, 2026 through February 26, 2027 in four phases. The milestone dates below are contractual.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660"/>
        <w:gridCol w:w="1800"/>
        <w:gridCol w:w="1800"/>
      </w:tblGrid>
      <w:tr>
        <w:trPr>
          <w:cantSplit/>
          <w:tblHeader/>
        </w:trPr>
        <w:tc>
          <w:tcPr>
            <w:tcW w:type="dxa" w:w="11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Phase</w:t>
            </w:r>
          </w:p>
        </w:tc>
        <w:tc>
          <w:tcPr>
            <w:tcW w:type="dxa" w:w="46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Description</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Start</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Finish</w:t>
            </w:r>
          </w:p>
        </w:tc>
      </w:tr>
      <w:tr>
        <w:trPr>
          <w:cantSplit/>
        </w:trPr>
        <w:tc>
          <w:tcPr>
            <w:tcW w:type="dxa" w:w="11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Phase 1</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Mobilization and asset inventory baseline</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1, 2026</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August 28, 2026</w:t>
            </w:r>
          </w:p>
        </w:tc>
      </w:tr>
      <w:tr>
        <w:trPr>
          <w:cantSplit/>
        </w:trPr>
        <w:tc>
          <w:tcPr>
            <w:tcW w:type="dxa" w:w="11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Phase 2</w:t>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Field inspection of all in-scope assets</w:t>
            </w:r>
          </w:p>
        </w:tc>
        <w:tc>
          <w:tcPr>
            <w:tcW w:type="dxa" w:w="1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July 13, 2026</w:t>
            </w:r>
          </w:p>
        </w:tc>
        <w:tc>
          <w:tcPr>
            <w:tcW w:type="dxa" w:w="1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16, 2026</w:t>
            </w:r>
          </w:p>
        </w:tc>
      </w:tr>
      <w:tr>
        <w:trPr>
          <w:cantSplit/>
        </w:trPr>
        <w:tc>
          <w:tcPr>
            <w:tcW w:type="dxa" w:w="11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Phase 3</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Technical approach evaluation and selection</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8, 2026</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30, 2026</w:t>
            </w:r>
          </w:p>
        </w:tc>
      </w:tr>
      <w:tr>
        <w:trPr>
          <w:cantSplit/>
        </w:trPr>
        <w:tc>
          <w:tcPr>
            <w:tcW w:type="dxa" w:w="11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Phase 4</w:t>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Resilience modeling, remediation roadmap, final report, Board briefing, closeout</w:t>
            </w:r>
          </w:p>
        </w:tc>
        <w:tc>
          <w:tcPr>
            <w:tcW w:type="dxa" w:w="1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November 2, 2026</w:t>
            </w:r>
          </w:p>
        </w:tc>
        <w:tc>
          <w:tcPr>
            <w:tcW w:type="dxa" w:w="1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February 26, 2027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460"/>
        <w:gridCol w:w="2000"/>
        <w:gridCol w:w="2000"/>
      </w:tblGrid>
      <w:tr>
        <w:trPr>
          <w:cantSplit/>
          <w:tblHeader/>
        </w:trPr>
        <w:tc>
          <w:tcPr>
            <w:tcW w:type="dxa" w:w="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ID</w:t>
            </w:r>
          </w:p>
        </w:tc>
        <w:tc>
          <w:tcPr>
            <w:tcW w:type="dxa" w:w="44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Milestone</w:t>
            </w:r>
          </w:p>
        </w:tc>
        <w:tc>
          <w:tcPr>
            <w:tcW w:type="dxa" w:w="2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Contractual date</w:t>
            </w:r>
          </w:p>
        </w:tc>
        <w:tc>
          <w:tcPr>
            <w:tcW w:type="dxa" w:w="2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MS-01</w:t>
            </w:r>
          </w:p>
        </w:tc>
        <w:tc>
          <w:tcPr>
            <w:tcW w:type="dxa" w:w="44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Program kickoff</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1, 2026</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Program Manager</w:t>
            </w:r>
          </w:p>
        </w:tc>
      </w:tr>
      <w:tr>
        <w:trPr>
          <w:cantSplit/>
        </w:trPr>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MS-02</w:t>
            </w:r>
          </w:p>
        </w:tc>
        <w:tc>
          <w:tcPr>
            <w:tcW w:type="dxa" w:w="44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Asset inventory baseline accepted</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26, 2026</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Lead Infrastructure Analyst</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MS-03</w:t>
            </w:r>
          </w:p>
        </w:tc>
        <w:tc>
          <w:tcPr>
            <w:tcW w:type="dxa" w:w="44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Field inspection start</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July 13, 2026</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Field Inspection Supervisor</w:t>
            </w:r>
          </w:p>
        </w:tc>
      </w:tr>
      <w:tr>
        <w:trPr>
          <w:cantSplit/>
        </w:trPr>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MS-04</w:t>
            </w:r>
          </w:p>
        </w:tc>
        <w:tc>
          <w:tcPr>
            <w:tcW w:type="dxa" w:w="44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Technical approach submissions due from four teams</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4, 2026</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Contracts and Compliance</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MS-05</w:t>
            </w:r>
          </w:p>
        </w:tc>
        <w:tc>
          <w:tcPr>
            <w:tcW w:type="dxa" w:w="44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Field inspection complete (100 percent of assets)</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16, 2026</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Field Inspection Supervisor</w:t>
            </w:r>
          </w:p>
        </w:tc>
      </w:tr>
      <w:tr>
        <w:trPr>
          <w:cantSplit/>
        </w:trPr>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MS-06</w:t>
            </w:r>
          </w:p>
        </w:tc>
        <w:tc>
          <w:tcPr>
            <w:tcW w:type="dxa" w:w="44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Evaluation panel recommendation memo</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23, 2026</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Program Manager</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MS-07</w:t>
            </w:r>
          </w:p>
        </w:tc>
        <w:tc>
          <w:tcPr>
            <w:tcW w:type="dxa" w:w="44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Approach selection decision meeting</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29, 2026</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CBPA Chief Engineer</w:t>
            </w:r>
          </w:p>
        </w:tc>
      </w:tr>
      <w:tr>
        <w:trPr>
          <w:cantSplit/>
        </w:trPr>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MS-08</w:t>
            </w:r>
          </w:p>
        </w:tc>
        <w:tc>
          <w:tcPr>
            <w:tcW w:type="dxa" w:w="44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Draft resilience report and remediation roadmap</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November 20, 2026</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Program Manager</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MS-09</w:t>
            </w:r>
          </w:p>
        </w:tc>
        <w:tc>
          <w:tcPr>
            <w:tcW w:type="dxa" w:w="44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Final resilience report and remediation roadmap</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December 18, 2026</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Program Manager</w:t>
            </w:r>
          </w:p>
        </w:tc>
      </w:tr>
      <w:tr>
        <w:trPr>
          <w:cantSplit/>
        </w:trPr>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MS-10</w:t>
            </w:r>
          </w:p>
        </w:tc>
        <w:tc>
          <w:tcPr>
            <w:tcW w:type="dxa" w:w="44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Briefing to the CBPA Board of Commissioners</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January 14, 2027</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CBPA Chief Engineer</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MS-11</w:t>
            </w:r>
          </w:p>
        </w:tc>
        <w:tc>
          <w:tcPr>
            <w:tcW w:type="dxa" w:w="44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Program closeout</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February 26, 2027</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Program Manager</w:t>
            </w:r>
          </w:p>
        </w:tc>
      </w:tr>
    </w:tbl>
    <w:p>
      <w:pPr>
        <w:spacing w:after="120"/>
      </w:pPr>
    </w:p>
    <w:p>
      <w:pPr>
        <w:spacing w:after="140" w:before="0" w:line="288"/>
      </w:pPr>
      <w:r>
        <w:rPr>
          <w:rFonts w:ascii="Calibri" w:cs="Calibri" w:eastAsia="Calibri" w:hAnsi="Calibri"/>
          <w:sz w:val="22"/>
          <w:szCs w:val="22"/>
        </w:rPr>
        <w:t xml:space="preserve">The Board briefing (MS-10) depends on the accepted final report (MS-09). The Board package is assembled from the final report and must be distributed to Commissioners five business days before the briefing.</w:t>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4. Mandatory Requirements</w:t>
      </w:r>
    </w:p>
    <w:p>
      <w:pPr>
        <w:spacing w:after="140" w:before="0" w:line="288"/>
      </w:pPr>
      <w:r>
        <w:rPr>
          <w:rFonts w:ascii="Calibri" w:cs="Calibri" w:eastAsia="Calibri" w:hAnsi="Calibri"/>
          <w:sz w:val="22"/>
          <w:szCs w:val="22"/>
        </w:rPr>
        <w:t xml:space="preserve">Mandatory requirements are pass or fail. A technical approach that does not meet every mandatory requirement cannot be recommended, whatever its score on other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cantSplit/>
          <w:tblHeader/>
        </w:trPr>
        <w:tc>
          <w:tcPr>
            <w:tcW w:type="dxa" w:w="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ID</w:t>
            </w:r>
          </w:p>
        </w:tc>
        <w:tc>
          <w:tcPr>
            <w:tcW w:type="dxa" w:w="5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Requirement</w:t>
            </w:r>
          </w:p>
        </w:tc>
        <w:tc>
          <w:tcPr>
            <w:tcW w:type="dxa" w:w="2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How it is verified</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M-01</w:t>
            </w:r>
          </w:p>
        </w:tc>
        <w:tc>
          <w:tcPr>
            <w:tcW w:type="dxa" w:w="5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Inspect and score 100 percent of the 12,480 in-scope assets using the five-point condition scale in Appendix B.</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Inspection dataset reconciled to the asset baseline</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M-02</w:t>
            </w:r>
          </w:p>
        </w:tc>
        <w:tc>
          <w:tcPr>
            <w:tcW w:type="dxa" w:w="5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Geolocate every asset to within 1.0 meter and reconcile it to its CBPA asset ID.</w:t>
            </w:r>
          </w:p>
        </w:tc>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Sample survey check of 2 percent of assets</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M-03</w:t>
            </w:r>
          </w:p>
        </w:tc>
        <w:tc>
          <w:tcPr>
            <w:tcW w:type="dxa" w:w="5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Assess each asset against the CBPA 2040 design flood elevation of 3.9 meters and the 2070 planning scenario of 4.6 meters, both relative to Calder Bay Datum.</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Elevation field populated for every asset</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M-04</w:t>
            </w:r>
          </w:p>
        </w:tc>
        <w:tc>
          <w:tcPr>
            <w:tcW w:type="dxa" w:w="5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Assign each asset a risk tier from Tier 1 (highest) to Tier 4 using the likelihood and consequence method in Appendix B.</w:t>
            </w:r>
          </w:p>
        </w:tc>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Risk tier field populated, method documented</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M-05</w:t>
            </w:r>
          </w:p>
        </w:tc>
        <w:tc>
          <w:tcPr>
            <w:tcW w:type="dxa" w:w="5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Produce a prioritized remediation roadmap with Class 4 cost estimates for all Tier 1 and Tier 2 assets.</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Roadmap reviewed by the Chief Engineer</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M-06</w:t>
            </w:r>
          </w:p>
        </w:tc>
        <w:tc>
          <w:tcPr>
            <w:tcW w:type="dxa" w:w="5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Deliver all data in open, documented formats (CSV and GeoPackage) with a data dictionary.</w:t>
            </w:r>
          </w:p>
        </w:tc>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Data package acceptance test</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M-07</w:t>
            </w:r>
          </w:p>
        </w:tc>
        <w:tc>
          <w:tcPr>
            <w:tcW w:type="dxa" w:w="5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Store and process all Program data, including inspection photographs, only in United States based environments authorized for Controlled Unclassified Information. Program data must not be entered into commercial artificial intelligence services that operate outside those environments.</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Security plan review and system attestation</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M-08</w:t>
            </w:r>
          </w:p>
        </w:tc>
        <w:tc>
          <w:tcPr>
            <w:tcW w:type="dxa" w:w="5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All personnel with access to Program data must be United States persons and must complete CBPA security awareness training before access is granted.</w:t>
            </w:r>
          </w:p>
        </w:tc>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Personnel roster and training records</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M-09</w:t>
            </w:r>
          </w:p>
        </w:tc>
        <w:tc>
          <w:tcPr>
            <w:tcW w:type="dxa" w:w="5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Underwater inspection at Level I for all piles and at Level II for at least a 10 percent sample, with the sample increased wherever Level I finds significant damage.</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Dive logs and inspection records</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M-10</w:t>
            </w:r>
          </w:p>
        </w:tc>
        <w:tc>
          <w:tcPr>
            <w:tcW w:type="dxa" w:w="5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Work must not interrupt vessel operations. Inspection windows are coordinated through the Harbor Operations Center at least 72 hours in advance.</w:t>
            </w:r>
          </w:p>
        </w:tc>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Operations Center log</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M-11</w:t>
            </w:r>
          </w:p>
        </w:tc>
        <w:tc>
          <w:tcPr>
            <w:tcW w:type="dxa" w:w="5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Weekly status reporting that meets every rule in Section 9.</w:t>
            </w:r>
          </w:p>
        </w:tc>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Liaison review of each weekly email</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M-12</w:t>
            </w:r>
          </w:p>
        </w:tc>
        <w:tc>
          <w:tcPr>
            <w:tcW w:type="dxa" w:w="5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The technical approach must be executable within the milestone dates in Section 3 and the not-to-exceed value in Section 7.</w:t>
            </w:r>
          </w:p>
        </w:tc>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Schedule and cost review by the evaluation panel</w:t>
            </w:r>
          </w:p>
        </w:tc>
      </w:tr>
    </w:tbl>
    <w:p>
      <w:pPr>
        <w:pStyle w:val="Heading1"/>
        <w:keepNext/>
        <w:pBdr>
          <w:bottom w:val="single" w:color="2A7F86" w:sz="8" w:space="4"/>
        </w:pBdr>
        <w:spacing w:after="160" w:before="320"/>
      </w:pPr>
      <w:r>
        <w:rPr>
          <w:rFonts w:ascii="Calibri" w:cs="Calibri" w:eastAsia="Calibri" w:hAnsi="Calibri"/>
          <w:b/>
          <w:bCs/>
          <w:color w:val="1F3A5F"/>
          <w:sz w:val="32"/>
          <w:szCs w:val="32"/>
        </w:rPr>
        <w:t xml:space="preserve">5. Desirable Requirements</w:t>
      </w:r>
    </w:p>
    <w:p>
      <w:pPr>
        <w:spacing w:after="140" w:before="0" w:line="288"/>
      </w:pPr>
      <w:r>
        <w:rPr>
          <w:rFonts w:ascii="Calibri" w:cs="Calibri" w:eastAsia="Calibri" w:hAnsi="Calibri"/>
          <w:sz w:val="22"/>
          <w:szCs w:val="22"/>
        </w:rPr>
        <w:t xml:space="preserve">Desirable requirements are scored under the Innovation and Technical Merit criteria. They are not pass or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660"/>
        <w:gridCol w:w="3900"/>
      </w:tblGrid>
      <w:tr>
        <w:trPr>
          <w:cantSplit/>
          <w:tblHeader/>
        </w:trPr>
        <w:tc>
          <w:tcPr>
            <w:tcW w:type="dxa" w:w="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ID</w:t>
            </w:r>
          </w:p>
        </w:tc>
        <w:tc>
          <w:tcPr>
            <w:tcW w:type="dxa" w:w="46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Desirable requirement</w:t>
            </w:r>
          </w:p>
        </w:tc>
        <w:tc>
          <w:tcPr>
            <w:tcW w:type="dxa" w:w="3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Why it matters to CBPA</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D-01</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Interactive dashboard of condition and risk by facility and asset class.</w:t>
            </w:r>
          </w:p>
        </w:tc>
        <w:tc>
          <w:tcPr>
            <w:tcW w:type="dxa" w:w="3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Lets Commissioners and operations staff explore results without specialist tools</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D-02</w:t>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Data structured for import into the CBPA geographic information system and asset management system.</w:t>
            </w:r>
          </w:p>
        </w:tc>
        <w:tc>
          <w:tcPr>
            <w:tcW w:type="dxa" w:w="3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Avoids a second data migration project</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D-03</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Scenario modeling for compound events such as storm surge combined with heavy rainfall.</w:t>
            </w:r>
          </w:p>
        </w:tc>
        <w:tc>
          <w:tcPr>
            <w:tcW w:type="dxa" w:w="3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The 2023 flood was a compound event</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D-04</w:t>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Dependency mapping between assets, for example which transformers feed which pumps and reefer racks.</w:t>
            </w:r>
          </w:p>
        </w:tc>
        <w:tc>
          <w:tcPr>
            <w:tcW w:type="dxa" w:w="3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Shows how one failure spreads across the complex</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D-05</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Two training sessions for CBPA engineering staff on using the data and the model.</w:t>
            </w:r>
          </w:p>
        </w:tc>
        <w:tc>
          <w:tcPr>
            <w:tcW w:type="dxa" w:w="3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Builds internal capability</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D-06</w:t>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Drone or remotely operated vehicle imagery to supplement manual inspection.</w:t>
            </w:r>
          </w:p>
        </w:tc>
        <w:tc>
          <w:tcPr>
            <w:tcW w:type="dxa" w:w="3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Improves the record for hard to reach assets</w:t>
            </w:r>
          </w:p>
        </w:tc>
      </w:tr>
      <w:tr>
        <w:trPr>
          <w:cantSplit/>
        </w:trPr>
        <w:tc>
          <w:tcPr>
            <w:tcW w:type="dxa" w:w="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D-07</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Environmental co-benefit estimates for remediation options.</w:t>
            </w:r>
          </w:p>
        </w:tc>
        <w:tc>
          <w:tcPr>
            <w:tcW w:type="dxa" w:w="3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Supports grant applications</w:t>
            </w:r>
          </w:p>
        </w:tc>
      </w:tr>
      <w:tr>
        <w:trPr>
          <w:cantSplit/>
        </w:trPr>
        <w:tc>
          <w:tcPr>
            <w:tcW w:type="dxa" w:w="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D-08</w:t>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Mapping of roadmap items to federal and state grant program eligibility.</w:t>
            </w:r>
          </w:p>
        </w:tc>
        <w:tc>
          <w:tcPr>
            <w:tcW w:type="dxa" w:w="3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Accelerates funding</w:t>
            </w:r>
          </w:p>
        </w:tc>
      </w:tr>
    </w:tbl>
    <w:p>
      <w:pPr>
        <w:pStyle w:val="Heading1"/>
        <w:keepNext/>
        <w:pBdr>
          <w:bottom w:val="single" w:color="2A7F86" w:sz="8" w:space="4"/>
        </w:pBdr>
        <w:spacing w:after="160" w:before="320"/>
      </w:pPr>
      <w:r>
        <w:rPr>
          <w:rFonts w:ascii="Calibri" w:cs="Calibri" w:eastAsia="Calibri" w:hAnsi="Calibri"/>
          <w:b/>
          <w:bCs/>
          <w:color w:val="1F3A5F"/>
          <w:sz w:val="32"/>
          <w:szCs w:val="32"/>
        </w:rPr>
        <w:t xml:space="preserve">6. Evaluation of Technical Approaches</w:t>
      </w:r>
    </w:p>
    <w:p>
      <w:pPr>
        <w:pStyle w:val="Heading2"/>
        <w:keepNext/>
        <w:spacing w:after="110" w:before="240"/>
      </w:pPr>
      <w:r>
        <w:rPr>
          <w:rFonts w:ascii="Calibri" w:cs="Calibri" w:eastAsia="Calibri" w:hAnsi="Calibri"/>
          <w:b/>
          <w:bCs/>
          <w:color w:val="2A7F86"/>
          <w:sz w:val="26"/>
          <w:szCs w:val="26"/>
        </w:rPr>
        <w:t xml:space="preserve">6.1 Criteria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cantSplit/>
          <w:tblHeader/>
        </w:trPr>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Criterion</w:t>
            </w:r>
          </w:p>
        </w:tc>
        <w:tc>
          <w:tcPr>
            <w:tcW w:type="dxa" w:w="1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Weight</w:t>
            </w:r>
          </w:p>
        </w:tc>
        <w:tc>
          <w:tcPr>
            <w:tcW w:type="dxa" w:w="59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What the panel looks for</w:t>
            </w:r>
          </w:p>
        </w:tc>
      </w:tr>
      <w:tr>
        <w:trPr>
          <w:cantSplit/>
        </w:trPr>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Technical merit</w:t>
            </w:r>
          </w:p>
        </w:tc>
        <w:tc>
          <w:tcPr>
            <w:tcW w:type="dxa" w:w="1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35</w:t>
            </w:r>
          </w:p>
        </w:tc>
        <w:tc>
          <w:tcPr>
            <w:tcW w:type="dxa" w:w="59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Soundness of the modeling method, treatment of uncertainty, quality of the roadmap logic</w:t>
            </w:r>
          </w:p>
        </w:tc>
      </w:tr>
      <w:tr>
        <w:trPr>
          <w:cantSplit/>
        </w:trPr>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Schedule realism</w:t>
            </w:r>
          </w:p>
        </w:tc>
        <w:tc>
          <w:tcPr>
            <w:tcW w:type="dxa" w:w="1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20</w:t>
            </w:r>
          </w:p>
        </w:tc>
        <w:tc>
          <w:tcPr>
            <w:tcW w:type="dxa" w:w="59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 credible plan to meet MS-08 and MS-09 with named resources and float</w:t>
            </w:r>
          </w:p>
        </w:tc>
      </w:tr>
      <w:tr>
        <w:trPr>
          <w:cantSplit/>
        </w:trPr>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Compliance and security</w:t>
            </w:r>
          </w:p>
        </w:tc>
        <w:tc>
          <w:tcPr>
            <w:tcW w:type="dxa" w:w="1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20</w:t>
            </w:r>
          </w:p>
        </w:tc>
        <w:tc>
          <w:tcPr>
            <w:tcW w:type="dxa" w:w="59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Evidence for M-06, M-07, and M-08, and a workable data handling plan</w:t>
            </w:r>
          </w:p>
        </w:tc>
      </w:tr>
      <w:tr>
        <w:trPr>
          <w:cantSplit/>
        </w:trPr>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Cost</w:t>
            </w:r>
          </w:p>
        </w:tc>
        <w:tc>
          <w:tcPr>
            <w:tcW w:type="dxa" w:w="1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15</w:t>
            </w:r>
          </w:p>
        </w:tc>
        <w:tc>
          <w:tcPr>
            <w:tcW w:type="dxa" w:w="59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Total evaluated cost against the resilience modeling and roadmap budget line in Section 7</w:t>
            </w:r>
          </w:p>
        </w:tc>
      </w:tr>
      <w:tr>
        <w:trPr>
          <w:cantSplit/>
        </w:trPr>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Innovation</w:t>
            </w:r>
          </w:p>
        </w:tc>
        <w:tc>
          <w:tcPr>
            <w:tcW w:type="dxa" w:w="1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10</w:t>
            </w:r>
          </w:p>
        </w:tc>
        <w:tc>
          <w:tcPr>
            <w:tcW w:type="dxa" w:w="59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Value added through desirable requirements D-01 to D-08</w:t>
            </w:r>
          </w:p>
        </w:tc>
      </w:tr>
      <w:tr>
        <w:trPr>
          <w:cantSplit/>
        </w:trPr>
        <w:tc>
          <w:tcPr>
            <w:tcW w:type="dxa" w:w="24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Total</w:t>
            </w:r>
          </w:p>
        </w:tc>
        <w:tc>
          <w:tcPr>
            <w:tcW w:type="dxa" w:w="10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100</w:t>
            </w:r>
          </w:p>
        </w:tc>
        <w:tc>
          <w:tcPr>
            <w:tcW w:type="dxa" w:w="59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
            </w:r>
          </w:p>
        </w:tc>
      </w:tr>
    </w:tbl>
    <w:p>
      <w:pPr>
        <w:spacing w:after="120"/>
      </w:pPr>
    </w:p>
    <w:p>
      <w:pPr>
        <w:pStyle w:val="Heading2"/>
        <w:keepNext/>
        <w:spacing w:after="110" w:before="240"/>
      </w:pPr>
      <w:r>
        <w:rPr>
          <w:rFonts w:ascii="Calibri" w:cs="Calibri" w:eastAsia="Calibri" w:hAnsi="Calibri"/>
          <w:b/>
          <w:bCs/>
          <w:color w:val="2A7F86"/>
          <w:sz w:val="26"/>
          <w:szCs w:val="26"/>
        </w:rPr>
        <w:t xml:space="preserve">6.2 Scoring method</w:t>
      </w:r>
    </w:p>
    <w:p>
      <w:pPr>
        <w:spacing w:after="140" w:before="0" w:line="288"/>
      </w:pPr>
      <w:r>
        <w:rPr>
          <w:rFonts w:ascii="Calibri" w:cs="Calibri" w:eastAsia="Calibri" w:hAnsi="Calibri"/>
          <w:sz w:val="22"/>
          <w:szCs w:val="22"/>
        </w:rPr>
        <w:t xml:space="preserve">Each panel member scores each criterion from 0 (no evidence) to 5 (exceeds the requirement with clear evidence). Scores are multiplied by the weight and summed to a total out of 500, then normalized to 100. The panel meets once to calibrate before scoring and once to reconcile differences of two points or more on any criterion.</w:t>
      </w:r>
    </w:p>
    <w:p>
      <w:pPr>
        <w:pStyle w:val="Heading2"/>
        <w:keepNext/>
        <w:spacing w:after="110" w:before="240"/>
      </w:pPr>
      <w:r>
        <w:rPr>
          <w:rFonts w:ascii="Calibri" w:cs="Calibri" w:eastAsia="Calibri" w:hAnsi="Calibri"/>
          <w:b/>
          <w:bCs/>
          <w:color w:val="2A7F86"/>
          <w:sz w:val="26"/>
          <w:szCs w:val="26"/>
        </w:rPr>
        <w:t xml:space="preserve">6.3 Panel</w:t>
      </w:r>
    </w:p>
    <w:p>
      <w:pPr>
        <w:spacing w:after="140" w:before="0" w:line="288"/>
      </w:pPr>
      <w:r>
        <w:rPr>
          <w:rFonts w:ascii="Calibri" w:cs="Calibri" w:eastAsia="Calibri" w:hAnsi="Calibri"/>
          <w:sz w:val="22"/>
          <w:szCs w:val="22"/>
        </w:rPr>
        <w:t xml:space="preserve">The panel has five voting members: Dr. Anneliese Thorvaldsen (chair, CBPA), Priya Ramaswamy-Bell (CBPA), Devin Okonkwo-Hale (Marrowstone), Tomasz Grelling (Marrowstone, compliance and security lead), and Oluwaseun Brathwaite-Lindqvist (CBPA Finance). Marisol Vantrease facilitates and does not vote.</w:t>
      </w:r>
    </w:p>
    <w:p>
      <w:pPr>
        <w:pStyle w:val="Heading2"/>
        <w:keepNext/>
        <w:spacing w:after="110" w:before="240"/>
      </w:pPr>
      <w:r>
        <w:rPr>
          <w:rFonts w:ascii="Calibri" w:cs="Calibri" w:eastAsia="Calibri" w:hAnsi="Calibri"/>
          <w:b/>
          <w:bCs/>
          <w:color w:val="2A7F86"/>
          <w:sz w:val="26"/>
          <w:szCs w:val="26"/>
        </w:rPr>
        <w:t xml:space="preserve">6.4 Outputs</w:t>
      </w:r>
    </w:p>
    <w:p>
      <w:pPr>
        <w:spacing w:after="140" w:before="0" w:line="288"/>
      </w:pPr>
      <w:r>
        <w:rPr>
          <w:rFonts w:ascii="Calibri" w:cs="Calibri" w:eastAsia="Calibri" w:hAnsi="Calibri"/>
          <w:sz w:val="22"/>
          <w:szCs w:val="22"/>
        </w:rPr>
        <w:t xml:space="preserve">The panel produces a comparison table of the four approaches against the mandatory requirements, a scored ranking with rationale, the top three risks of the recommended approach, and a recommendation memo (MS-06). The decision meeting (MS-07) confirms or rejects the recommendation.</w:t>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7. Constraints and Assumptions</w:t>
      </w:r>
    </w:p>
    <w:p>
      <w:pPr>
        <w:pStyle w:val="Heading2"/>
        <w:keepNext/>
        <w:spacing w:after="110" w:before="240"/>
      </w:pPr>
      <w:r>
        <w:rPr>
          <w:rFonts w:ascii="Calibri" w:cs="Calibri" w:eastAsia="Calibri" w:hAnsi="Calibri"/>
          <w:b/>
          <w:bCs/>
          <w:color w:val="2A7F86"/>
          <w:sz w:val="26"/>
          <w:szCs w:val="26"/>
        </w:rPr>
        <w:t xml:space="preserve">7.1 Budget</w:t>
      </w:r>
    </w:p>
    <w:p>
      <w:pPr>
        <w:spacing w:after="140" w:before="0" w:line="288"/>
      </w:pPr>
      <w:r>
        <w:rPr>
          <w:rFonts w:ascii="Calibri" w:cs="Calibri" w:eastAsia="Calibri" w:hAnsi="Calibri"/>
          <w:sz w:val="22"/>
          <w:szCs w:val="22"/>
        </w:rPr>
        <w:t xml:space="preserve">The contract not-to-exceed value is $4,860,000. The Program Manager may move up to 5 percent between budget lines without approval. Any forecast above the not-to-exceed value requires a written contract modification before the cost is incurred.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4160"/>
      </w:tblGrid>
      <w:tr>
        <w:trPr>
          <w:cantSplit/>
          <w:tblHeader/>
        </w:trPr>
        <w:tc>
          <w:tcPr>
            <w:tcW w:type="dxa" w:w="37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Budget line</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Value</w:t>
            </w:r>
          </w:p>
        </w:tc>
        <w:tc>
          <w:tcPr>
            <w:tcW w:type="dxa" w:w="41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Notes</w:t>
            </w:r>
          </w:p>
        </w:tc>
      </w:tr>
      <w:tr>
        <w:trPr>
          <w:cantSplit/>
        </w:trPr>
        <w:tc>
          <w:tcPr>
            <w:tcW w:type="dxa" w:w="3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Mobilization and asset inventory</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$612,000</w:t>
            </w:r>
          </w:p>
        </w:tc>
        <w:tc>
          <w:tcPr>
            <w:tcW w:type="dxa" w:w="41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Phase 1</w:t>
            </w:r>
          </w:p>
        </w:tc>
      </w:tr>
      <w:tr>
        <w:trPr>
          <w:cantSplit/>
        </w:trPr>
        <w:tc>
          <w:tcPr>
            <w:tcW w:type="dxa" w:w="3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Field inspection</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$2,187,000</w:t>
            </w:r>
          </w:p>
        </w:tc>
        <w:tc>
          <w:tcPr>
            <w:tcW w:type="dxa" w:w="41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Phase 2. Includes 46 dive days at $6,750 per day ($310,500)</w:t>
            </w:r>
          </w:p>
        </w:tc>
      </w:tr>
      <w:tr>
        <w:trPr>
          <w:cantSplit/>
        </w:trPr>
        <w:tc>
          <w:tcPr>
            <w:tcW w:type="dxa" w:w="3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Technical approach evaluation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$298,000</w:t>
            </w:r>
          </w:p>
        </w:tc>
        <w:tc>
          <w:tcPr>
            <w:tcW w:type="dxa" w:w="41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Phase 3</w:t>
            </w:r>
          </w:p>
        </w:tc>
      </w:tr>
      <w:tr>
        <w:trPr>
          <w:cantSplit/>
        </w:trPr>
        <w:tc>
          <w:tcPr>
            <w:tcW w:type="dxa" w:w="3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Resilience modeling and remediation roadmap</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$1,216,000</w:t>
            </w:r>
          </w:p>
        </w:tc>
        <w:tc>
          <w:tcPr>
            <w:tcW w:type="dxa" w:w="41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Phase 4. Ceiling for the selected technical approach</w:t>
            </w:r>
          </w:p>
        </w:tc>
      </w:tr>
      <w:tr>
        <w:trPr>
          <w:cantSplit/>
        </w:trPr>
        <w:tc>
          <w:tcPr>
            <w:tcW w:type="dxa" w:w="3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Reporting, Board briefing, and closeout</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$547,000</w:t>
            </w:r>
          </w:p>
        </w:tc>
        <w:tc>
          <w:tcPr>
            <w:tcW w:type="dxa" w:w="41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Phase 4</w:t>
            </w:r>
          </w:p>
        </w:tc>
      </w:tr>
      <w:tr>
        <w:trPr>
          <w:cantSplit/>
        </w:trPr>
        <w:tc>
          <w:tcPr>
            <w:tcW w:type="dxa" w:w="37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Not-to-exceed total</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$4,860,000</w:t>
            </w:r>
          </w:p>
        </w:tc>
        <w:tc>
          <w:tcPr>
            <w:tcW w:type="dxa" w:w="41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
            </w:r>
          </w:p>
        </w:tc>
      </w:tr>
    </w:tbl>
    <w:p>
      <w:pPr>
        <w:spacing w:after="120"/>
      </w:pPr>
    </w:p>
    <w:p>
      <w:pPr>
        <w:pStyle w:val="Heading2"/>
        <w:keepNext/>
        <w:spacing w:after="110" w:before="240"/>
      </w:pPr>
      <w:r>
        <w:rPr>
          <w:rFonts w:ascii="Calibri" w:cs="Calibri" w:eastAsia="Calibri" w:hAnsi="Calibri"/>
          <w:b/>
          <w:bCs/>
          <w:color w:val="2A7F86"/>
          <w:sz w:val="26"/>
          <w:szCs w:val="26"/>
        </w:rPr>
        <w:t xml:space="preserve">7.2 Access and operations</w:t>
      </w:r>
    </w:p>
    <w:p>
      <w:pPr>
        <w:pStyle w:val="ListParagraph"/>
        <w:numPr>
          <w:ilvl w:val="0"/>
          <w:numId w:val="2"/>
        </w:numPr>
        <w:spacing w:after="70" w:line="280"/>
      </w:pPr>
      <w:r>
        <w:rPr>
          <w:rFonts w:ascii="Calibri" w:cs="Calibri" w:eastAsia="Calibri" w:hAnsi="Calibri"/>
          <w:sz w:val="22"/>
          <w:szCs w:val="22"/>
        </w:rPr>
        <w:t xml:space="preserve">Pier 4 and Pier 7 remain in operation throughout. Berth access for inspection is limited to windows released by the Harbor Operations Center.</w:t>
      </w:r>
    </w:p>
    <w:p>
      <w:pPr>
        <w:pStyle w:val="ListParagraph"/>
        <w:numPr>
          <w:ilvl w:val="0"/>
          <w:numId w:val="2"/>
        </w:numPr>
        <w:spacing w:after="70" w:line="280"/>
      </w:pPr>
      <w:r>
        <w:rPr>
          <w:rFonts w:ascii="Calibri" w:cs="Calibri" w:eastAsia="Calibri" w:hAnsi="Calibri"/>
          <w:sz w:val="22"/>
          <w:szCs w:val="22"/>
        </w:rPr>
        <w:t xml:space="preserve">Underwater work requires sea state 3 or lower and visibility of at least 1 meter. Dive operations stop when a tropical storm watch is issued for Calder Bay.</w:t>
      </w:r>
    </w:p>
    <w:p>
      <w:pPr>
        <w:pStyle w:val="ListParagraph"/>
        <w:numPr>
          <w:ilvl w:val="0"/>
          <w:numId w:val="2"/>
        </w:numPr>
        <w:spacing w:after="70" w:line="280"/>
      </w:pPr>
      <w:r>
        <w:rPr>
          <w:rFonts w:ascii="Calibri" w:cs="Calibri" w:eastAsia="Calibri" w:hAnsi="Calibri"/>
          <w:sz w:val="22"/>
          <w:szCs w:val="22"/>
        </w:rPr>
        <w:t xml:space="preserve">Energized equipment at Substation Row can be inspected externally at any time. Internal inspection requires a planned outage approved by the CBPA Chief Engineer at least five business days in advance. Outages are permitted only on Saturdays between 6:00 AM and 12:00 PM.</w:t>
      </w:r>
    </w:p>
    <w:p>
      <w:pPr>
        <w:pStyle w:val="ListParagraph"/>
        <w:numPr>
          <w:ilvl w:val="0"/>
          <w:numId w:val="2"/>
        </w:numPr>
        <w:spacing w:after="70" w:line="280"/>
      </w:pPr>
      <w:r>
        <w:rPr>
          <w:rFonts w:ascii="Calibri" w:cs="Calibri" w:eastAsia="Calibri" w:hAnsi="Calibri"/>
          <w:sz w:val="22"/>
          <w:szCs w:val="22"/>
        </w:rPr>
        <w:t xml:space="preserve">Confined space entry at the Fuel Dock and Tank Farm requires a CBPA permit for each entry.</w:t>
      </w:r>
    </w:p>
    <w:p>
      <w:pPr>
        <w:pStyle w:val="Heading2"/>
        <w:keepNext/>
        <w:spacing w:after="110" w:before="240"/>
      </w:pPr>
      <w:r>
        <w:rPr>
          <w:rFonts w:ascii="Calibri" w:cs="Calibri" w:eastAsia="Calibri" w:hAnsi="Calibri"/>
          <w:b/>
          <w:bCs/>
          <w:color w:val="2A7F86"/>
          <w:sz w:val="26"/>
          <w:szCs w:val="26"/>
        </w:rPr>
        <w:t xml:space="preserve">7.3 Assumptions</w:t>
      </w:r>
    </w:p>
    <w:p>
      <w:pPr>
        <w:pStyle w:val="ListParagraph"/>
        <w:numPr>
          <w:ilvl w:val="0"/>
          <w:numId w:val="2"/>
        </w:numPr>
        <w:spacing w:after="70" w:line="280"/>
      </w:pPr>
      <w:r>
        <w:rPr>
          <w:rFonts w:ascii="Calibri" w:cs="Calibri" w:eastAsia="Calibri" w:hAnsi="Calibri"/>
          <w:sz w:val="22"/>
          <w:szCs w:val="22"/>
        </w:rPr>
        <w:t xml:space="preserve">CBPA will provide legacy asset records, drawings, and prior inspection reports by June 12, 2026.</w:t>
      </w:r>
    </w:p>
    <w:p>
      <w:pPr>
        <w:pStyle w:val="ListParagraph"/>
        <w:numPr>
          <w:ilvl w:val="0"/>
          <w:numId w:val="2"/>
        </w:numPr>
        <w:spacing w:after="70" w:line="280"/>
      </w:pPr>
      <w:r>
        <w:rPr>
          <w:rFonts w:ascii="Calibri" w:cs="Calibri" w:eastAsia="Calibri" w:hAnsi="Calibri"/>
          <w:sz w:val="22"/>
          <w:szCs w:val="22"/>
        </w:rPr>
        <w:t xml:space="preserve">CBPA review of each deliverable takes no more than 10 business days.</w:t>
      </w:r>
    </w:p>
    <w:p>
      <w:pPr>
        <w:pStyle w:val="ListParagraph"/>
        <w:numPr>
          <w:ilvl w:val="0"/>
          <w:numId w:val="2"/>
        </w:numPr>
        <w:spacing w:after="70" w:line="280"/>
      </w:pPr>
      <w:r>
        <w:rPr>
          <w:rFonts w:ascii="Calibri" w:cs="Calibri" w:eastAsia="Calibri" w:hAnsi="Calibri"/>
          <w:sz w:val="22"/>
          <w:szCs w:val="22"/>
        </w:rPr>
        <w:t xml:space="preserve">No more than 10 working days are lost to weather during Phase 2.</w:t>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8. Deliverables and Acceptance</w:t>
      </w:r>
    </w:p>
    <w:p>
      <w:pPr>
        <w:pStyle w:val="Heading2"/>
        <w:keepNext/>
        <w:spacing w:after="110" w:before="240"/>
      </w:pPr>
      <w:r>
        <w:rPr>
          <w:rFonts w:ascii="Calibri" w:cs="Calibri" w:eastAsia="Calibri" w:hAnsi="Calibri"/>
          <w:b/>
          <w:bCs/>
          <w:color w:val="2A7F86"/>
          <w:sz w:val="26"/>
          <w:szCs w:val="26"/>
        </w:rPr>
        <w:t xml:space="preserve">8.1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2700"/>
        <w:gridCol w:w="1800"/>
      </w:tblGrid>
      <w:tr>
        <w:trPr>
          <w:cantSplit/>
          <w:tblHeader/>
        </w:trPr>
        <w:tc>
          <w:tcPr>
            <w:tcW w:type="dxa" w:w="9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ID</w:t>
            </w:r>
          </w:p>
        </w:tc>
        <w:tc>
          <w:tcPr>
            <w:tcW w:type="dxa" w:w="39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Deliverable</w:t>
            </w:r>
          </w:p>
        </w:tc>
        <w:tc>
          <w:tcPr>
            <w:tcW w:type="dxa" w:w="27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Accepted by</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DL-01</w:t>
            </w:r>
          </w:p>
        </w:tc>
        <w:tc>
          <w:tcPr>
            <w:tcW w:type="dxa" w:w="39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Program management plan</w:t>
            </w:r>
          </w:p>
        </w:tc>
        <w:tc>
          <w:tcPr>
            <w:tcW w:type="dxa" w:w="2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12, 2026</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Client Liaison</w:t>
            </w:r>
          </w:p>
        </w:tc>
      </w:tr>
      <w:tr>
        <w:trPr>
          <w:cantSplit/>
        </w:trPr>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DL-02</w:t>
            </w:r>
          </w:p>
        </w:tc>
        <w:tc>
          <w:tcPr>
            <w:tcW w:type="dxa" w:w="39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Asset inventory baseline</w:t>
            </w:r>
          </w:p>
        </w:tc>
        <w:tc>
          <w:tcPr>
            <w:tcW w:type="dxa" w:w="2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26, 2026</w:t>
            </w:r>
          </w:p>
        </w:tc>
        <w:tc>
          <w:tcPr>
            <w:tcW w:type="dxa" w:w="1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Chief Engineer</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DL-03</w:t>
            </w:r>
          </w:p>
        </w:tc>
        <w:tc>
          <w:tcPr>
            <w:tcW w:type="dxa" w:w="39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Weekly status email</w:t>
            </w:r>
          </w:p>
        </w:tc>
        <w:tc>
          <w:tcPr>
            <w:tcW w:type="dxa" w:w="2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Every Friday by 3:00 PM Eastern</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Client Liaison</w:t>
            </w:r>
          </w:p>
        </w:tc>
      </w:tr>
      <w:tr>
        <w:trPr>
          <w:cantSplit/>
        </w:trPr>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DL-04</w:t>
            </w:r>
          </w:p>
        </w:tc>
        <w:tc>
          <w:tcPr>
            <w:tcW w:type="dxa" w:w="39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Inspection dataset and data dictionary</w:t>
            </w:r>
          </w:p>
        </w:tc>
        <w:tc>
          <w:tcPr>
            <w:tcW w:type="dxa" w:w="2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23, 2026</w:t>
            </w:r>
          </w:p>
        </w:tc>
        <w:tc>
          <w:tcPr>
            <w:tcW w:type="dxa" w:w="1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Chief Engineer</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DL-05</w:t>
            </w:r>
          </w:p>
        </w:tc>
        <w:tc>
          <w:tcPr>
            <w:tcW w:type="dxa" w:w="39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Evaluation panel recommendation memo</w:t>
            </w:r>
          </w:p>
        </w:tc>
        <w:tc>
          <w:tcPr>
            <w:tcW w:type="dxa" w:w="2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October 23, 2026</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Chief Engineer</w:t>
            </w:r>
          </w:p>
        </w:tc>
      </w:tr>
      <w:tr>
        <w:trPr>
          <w:cantSplit/>
        </w:trPr>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DL-06</w:t>
            </w:r>
          </w:p>
        </w:tc>
        <w:tc>
          <w:tcPr>
            <w:tcW w:type="dxa" w:w="39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Draft resilience report and remediation roadmap</w:t>
            </w:r>
          </w:p>
        </w:tc>
        <w:tc>
          <w:tcPr>
            <w:tcW w:type="dxa" w:w="2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November 20, 2026</w:t>
            </w:r>
          </w:p>
        </w:tc>
        <w:tc>
          <w:tcPr>
            <w:tcW w:type="dxa" w:w="1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Chief Engineer</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DL-07</w:t>
            </w:r>
          </w:p>
        </w:tc>
        <w:tc>
          <w:tcPr>
            <w:tcW w:type="dxa" w:w="39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Final resilience report and remediation roadmap</w:t>
            </w:r>
          </w:p>
        </w:tc>
        <w:tc>
          <w:tcPr>
            <w:tcW w:type="dxa" w:w="2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December 18, 2026</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Chief Engineer</w:t>
            </w:r>
          </w:p>
        </w:tc>
      </w:tr>
      <w:tr>
        <w:trPr>
          <w:cantSplit/>
        </w:trPr>
        <w:tc>
          <w:tcPr>
            <w:tcW w:type="dxa" w:w="9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DL-08</w:t>
            </w:r>
          </w:p>
        </w:tc>
        <w:tc>
          <w:tcPr>
            <w:tcW w:type="dxa" w:w="39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Board briefing package and presentation</w:t>
            </w:r>
          </w:p>
        </w:tc>
        <w:tc>
          <w:tcPr>
            <w:tcW w:type="dxa" w:w="2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January 7, 2027 (package), January 14, 2027 (briefing)</w:t>
            </w:r>
          </w:p>
        </w:tc>
        <w:tc>
          <w:tcPr>
            <w:tcW w:type="dxa" w:w="1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Chief Engineer</w:t>
            </w:r>
          </w:p>
        </w:tc>
      </w:tr>
      <w:tr>
        <w:trPr>
          <w:cantSplit/>
        </w:trPr>
        <w:tc>
          <w:tcPr>
            <w:tcW w:type="dxa" w:w="9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DL-09</w:t>
            </w:r>
          </w:p>
        </w:tc>
        <w:tc>
          <w:tcPr>
            <w:tcW w:type="dxa" w:w="39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Closeout report and data handover</w:t>
            </w:r>
          </w:p>
        </w:tc>
        <w:tc>
          <w:tcPr>
            <w:tcW w:type="dxa" w:w="2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February 26, 2027</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Client Liaison</w:t>
            </w:r>
          </w:p>
        </w:tc>
      </w:tr>
    </w:tbl>
    <w:p>
      <w:pPr>
        <w:spacing w:after="120"/>
      </w:pPr>
    </w:p>
    <w:p>
      <w:pPr>
        <w:pStyle w:val="Heading2"/>
        <w:keepNext/>
        <w:spacing w:after="110" w:before="240"/>
      </w:pPr>
      <w:r>
        <w:rPr>
          <w:rFonts w:ascii="Calibri" w:cs="Calibri" w:eastAsia="Calibri" w:hAnsi="Calibri"/>
          <w:b/>
          <w:bCs/>
          <w:color w:val="2A7F86"/>
          <w:sz w:val="26"/>
          <w:szCs w:val="26"/>
        </w:rPr>
        <w:t xml:space="preserve">8.2 Acceptance</w:t>
      </w:r>
    </w:p>
    <w:p>
      <w:pPr>
        <w:spacing w:after="140" w:before="0" w:line="288"/>
      </w:pPr>
      <w:r>
        <w:rPr>
          <w:rFonts w:ascii="Calibri" w:cs="Calibri" w:eastAsia="Calibri" w:hAnsi="Calibri"/>
          <w:sz w:val="22"/>
          <w:szCs w:val="22"/>
        </w:rPr>
        <w:t xml:space="preserve">CBPA reviews each deliverable within 10 business days and either accepts it or returns consolidated comments. A deliverable is accepted when the named acceptor confirms acceptance in writing.</w:t>
      </w:r>
    </w:p>
    <w:p>
      <w:pPr>
        <w:pStyle w:val="Heading2"/>
        <w:keepNext/>
        <w:spacing w:after="110" w:before="240"/>
      </w:pPr>
      <w:r>
        <w:rPr>
          <w:rFonts w:ascii="Calibri" w:cs="Calibri" w:eastAsia="Calibri" w:hAnsi="Calibri"/>
          <w:b/>
          <w:bCs/>
          <w:color w:val="2A7F86"/>
          <w:sz w:val="26"/>
          <w:szCs w:val="26"/>
        </w:rPr>
        <w:t xml:space="preserve">8.3 Changes to contractual dates</w:t>
      </w:r>
    </w:p>
    <w:p>
      <w:pPr>
        <w:spacing w:after="140" w:before="0" w:line="288"/>
      </w:pPr>
      <w:r>
        <w:rPr>
          <w:rFonts w:ascii="Calibri" w:cs="Calibri" w:eastAsia="Calibri" w:hAnsi="Calibri"/>
          <w:sz w:val="22"/>
          <w:szCs w:val="22"/>
        </w:rPr>
        <w:t xml:space="preserve">Any change to a milestone or deliverable date in this Specification requires a written contract modification signed by the CBPA Contracting Officer. A verbal agreement, an email exchange, or a note in a meeting record does not change a contractual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8A00" w:sz="24"/>
              <w:bottom w:val="none" w:color="FFFFFF" w:sz="0"/>
              <w:right w:val="none" w:color="FFFFFF" w:sz="0"/>
            </w:tcBorders>
            <w:shd w:fill="FFF4E0" w:color="auto" w:val="clear"/>
            <w:tcMar>
              <w:top w:type="dxa" w:w="120"/>
              <w:left w:type="dxa" w:w="200"/>
              <w:bottom w:type="dxa" w:w="100"/>
              <w:right w:type="dxa" w:w="160"/>
            </w:tcMar>
          </w:tcPr>
          <w:p>
            <w:pPr>
              <w:spacing w:after="60"/>
            </w:pPr>
            <w:r>
              <w:rPr>
                <w:rFonts w:ascii="Calibri" w:cs="Calibri" w:eastAsia="Calibri" w:hAnsi="Calibri"/>
                <w:b/>
                <w:bCs/>
                <w:color w:val="1F3A5F"/>
                <w:sz w:val="22"/>
                <w:szCs w:val="22"/>
              </w:rPr>
              <w:t xml:space="preserve">Rule for all reporting and external communication</w:t>
            </w:r>
          </w:p>
          <w:p>
            <w:pPr>
              <w:spacing w:after="60" w:line="270"/>
            </w:pPr>
            <w:r>
              <w:rPr>
                <w:rFonts w:ascii="Calibri" w:cs="Calibri" w:eastAsia="Calibri" w:hAnsi="Calibri"/>
                <w:sz w:val="21"/>
                <w:szCs w:val="21"/>
              </w:rPr>
              <w:t xml:space="preserve">Until a modification is executed, the dates in this Specification are the dates that must be used in weekly status emails, Board materials, and any other communication outside the Program team. A proposed date may be mentioned only if it is clearly described as proposed and not approved.</w:t>
            </w:r>
          </w:p>
        </w:tc>
      </w:tr>
    </w:tbl>
    <w:p>
      <w:pPr>
        <w:pStyle w:val="Heading1"/>
        <w:keepNext/>
        <w:pBdr>
          <w:bottom w:val="single" w:color="2A7F86" w:sz="8" w:space="4"/>
        </w:pBdr>
        <w:spacing w:after="160" w:before="320"/>
      </w:pPr>
      <w:r>
        <w:rPr>
          <w:rFonts w:ascii="Calibri" w:cs="Calibri" w:eastAsia="Calibri" w:hAnsi="Calibri"/>
          <w:b/>
          <w:bCs/>
          <w:color w:val="1F3A5F"/>
          <w:sz w:val="32"/>
          <w:szCs w:val="32"/>
        </w:rPr>
        <w:t xml:space="preserve">9. Governance and Reporting</w:t>
      </w:r>
    </w:p>
    <w:p>
      <w:pPr>
        <w:pStyle w:val="Heading2"/>
        <w:keepNext/>
        <w:spacing w:after="110" w:before="240"/>
      </w:pPr>
      <w:r>
        <w:rPr>
          <w:rFonts w:ascii="Calibri" w:cs="Calibri" w:eastAsia="Calibri" w:hAnsi="Calibri"/>
          <w:b/>
          <w:bCs/>
          <w:color w:val="2A7F86"/>
          <w:sz w:val="26"/>
          <w:szCs w:val="26"/>
        </w:rPr>
        <w:t xml:space="preserve">9.1 Weekly status email (DL-03)</w:t>
      </w:r>
    </w:p>
    <w:p>
      <w:pPr>
        <w:spacing w:after="140" w:before="0" w:line="288"/>
      </w:pPr>
      <w:r>
        <w:rPr>
          <w:rFonts w:ascii="Calibri" w:cs="Calibri" w:eastAsia="Calibri" w:hAnsi="Calibri"/>
          <w:sz w:val="22"/>
          <w:szCs w:val="22"/>
        </w:rPr>
        <w:t xml:space="preserve">The Program Manager sends a weekly status email to the Client Liaison every Friday by 3:00 PM Eastern. The Client Liaison forwards it to the Chief Engineer and, when asked, to Commissioners. It must therefore be readable by a person who is not an engineer.</w:t>
      </w:r>
    </w:p>
    <w:p>
      <w:pPr>
        <w:spacing w:after="140" w:before="0" w:line="288"/>
      </w:pPr>
      <w:r>
        <w:rPr>
          <w:rFonts w:ascii="Calibri" w:cs="Calibri" w:eastAsia="Calibri" w:hAnsi="Calibri"/>
          <w:sz w:val="22"/>
          <w:szCs w:val="22"/>
        </w:rPr>
        <w:t xml:space="preserve">Each weekly status email must:</w:t>
      </w:r>
    </w:p>
    <w:p>
      <w:pPr>
        <w:pStyle w:val="ListParagraph"/>
        <w:numPr>
          <w:ilvl w:val="0"/>
          <w:numId w:val="3"/>
        </w:numPr>
        <w:spacing w:after="70" w:line="280"/>
      </w:pPr>
      <w:r>
        <w:rPr>
          <w:rFonts w:ascii="Calibri" w:cs="Calibri" w:eastAsia="Calibri" w:hAnsi="Calibri"/>
          <w:sz w:val="22"/>
          <w:szCs w:val="22"/>
        </w:rPr>
        <w:t xml:space="preserve">Be no longer than 250 words, not counting the subject line.</w:t>
      </w:r>
    </w:p>
    <w:p>
      <w:pPr>
        <w:pStyle w:val="ListParagraph"/>
        <w:numPr>
          <w:ilvl w:val="0"/>
          <w:numId w:val="3"/>
        </w:numPr>
        <w:spacing w:after="70" w:line="280"/>
      </w:pPr>
      <w:r>
        <w:rPr>
          <w:rFonts w:ascii="Calibri" w:cs="Calibri" w:eastAsia="Calibri" w:hAnsi="Calibri"/>
          <w:sz w:val="22"/>
          <w:szCs w:val="22"/>
        </w:rPr>
        <w:t xml:space="preserve">State an overall status color (Green, Amber, or Red) for schedule and a separate color for budget, using the thresholds in Section 9.3.</w:t>
      </w:r>
    </w:p>
    <w:p>
      <w:pPr>
        <w:pStyle w:val="ListParagraph"/>
        <w:numPr>
          <w:ilvl w:val="0"/>
          <w:numId w:val="3"/>
        </w:numPr>
        <w:spacing w:after="70" w:line="280"/>
      </w:pPr>
      <w:r>
        <w:rPr>
          <w:rFonts w:ascii="Calibri" w:cs="Calibri" w:eastAsia="Calibri" w:hAnsi="Calibri"/>
          <w:sz w:val="22"/>
          <w:szCs w:val="22"/>
        </w:rPr>
        <w:t xml:space="preserve">Report inspection progress as both a count and a percentage of the 12,480 asset baseline.</w:t>
      </w:r>
    </w:p>
    <w:p>
      <w:pPr>
        <w:pStyle w:val="ListParagraph"/>
        <w:numPr>
          <w:ilvl w:val="0"/>
          <w:numId w:val="3"/>
        </w:numPr>
        <w:spacing w:after="70" w:line="280"/>
      </w:pPr>
      <w:r>
        <w:rPr>
          <w:rFonts w:ascii="Calibri" w:cs="Calibri" w:eastAsia="Calibri" w:hAnsi="Calibri"/>
          <w:sz w:val="22"/>
          <w:szCs w:val="22"/>
        </w:rPr>
        <w:t xml:space="preserve">Name the top three open risks by score from the current risk register, in plain language.</w:t>
      </w:r>
    </w:p>
    <w:p>
      <w:pPr>
        <w:pStyle w:val="ListParagraph"/>
        <w:numPr>
          <w:ilvl w:val="0"/>
          <w:numId w:val="3"/>
        </w:numPr>
        <w:spacing w:after="70" w:line="280"/>
      </w:pPr>
      <w:r>
        <w:rPr>
          <w:rFonts w:ascii="Calibri" w:cs="Calibri" w:eastAsia="Calibri" w:hAnsi="Calibri"/>
          <w:sz w:val="22"/>
          <w:szCs w:val="22"/>
        </w:rPr>
        <w:t xml:space="preserve">List each decision needed from CBPA with a needed-by date.</w:t>
      </w:r>
    </w:p>
    <w:p>
      <w:pPr>
        <w:pStyle w:val="ListParagraph"/>
        <w:numPr>
          <w:ilvl w:val="0"/>
          <w:numId w:val="3"/>
        </w:numPr>
        <w:spacing w:after="70" w:line="280"/>
      </w:pPr>
      <w:r>
        <w:rPr>
          <w:rFonts w:ascii="Calibri" w:cs="Calibri" w:eastAsia="Calibri" w:hAnsi="Calibri"/>
          <w:sz w:val="22"/>
          <w:szCs w:val="22"/>
        </w:rPr>
        <w:t xml:space="preserve">Give a short look-ahead for the coming week.</w:t>
      </w:r>
    </w:p>
    <w:p>
      <w:pPr>
        <w:spacing w:after="140" w:before="0" w:line="288"/>
      </w:pPr>
      <w:r>
        <w:rPr>
          <w:rFonts w:ascii="Calibri" w:cs="Calibri" w:eastAsia="Calibri" w:hAnsi="Calibri"/>
          <w:sz w:val="22"/>
          <w:szCs w:val="22"/>
        </w:rPr>
        <w:t xml:space="preserve">Each weekly status email must not:</w:t>
      </w:r>
    </w:p>
    <w:p>
      <w:pPr>
        <w:pStyle w:val="ListParagraph"/>
        <w:numPr>
          <w:ilvl w:val="0"/>
          <w:numId w:val="2"/>
        </w:numPr>
        <w:spacing w:after="70" w:line="280"/>
      </w:pPr>
      <w:r>
        <w:rPr>
          <w:rFonts w:ascii="Calibri" w:cs="Calibri" w:eastAsia="Calibri" w:hAnsi="Calibri"/>
          <w:sz w:val="22"/>
          <w:szCs w:val="22"/>
        </w:rPr>
        <w:t xml:space="preserve">Include Marrowstone internal commercial information, such as margin, or subcontractor commercial terms.</w:t>
      </w:r>
    </w:p>
    <w:p>
      <w:pPr>
        <w:pStyle w:val="ListParagraph"/>
        <w:numPr>
          <w:ilvl w:val="0"/>
          <w:numId w:val="2"/>
        </w:numPr>
        <w:spacing w:after="70" w:line="280"/>
      </w:pPr>
      <w:r>
        <w:rPr>
          <w:rFonts w:ascii="Calibri" w:cs="Calibri" w:eastAsia="Calibri" w:hAnsi="Calibri"/>
          <w:sz w:val="22"/>
          <w:szCs w:val="22"/>
        </w:rPr>
        <w:t xml:space="preserve">Present a proposed date as an approved date. See Section 8.3.</w:t>
      </w:r>
    </w:p>
    <w:p>
      <w:pPr>
        <w:pStyle w:val="ListParagraph"/>
        <w:numPr>
          <w:ilvl w:val="0"/>
          <w:numId w:val="2"/>
        </w:numPr>
        <w:spacing w:after="70" w:line="280"/>
      </w:pPr>
      <w:r>
        <w:rPr>
          <w:rFonts w:ascii="Calibri" w:cs="Calibri" w:eastAsia="Calibri" w:hAnsi="Calibri"/>
          <w:sz w:val="22"/>
          <w:szCs w:val="22"/>
        </w:rPr>
        <w:t xml:space="preserve">Use unexplained acronyms or internal risk ID numbers without a plain language description.</w:t>
      </w:r>
    </w:p>
    <w:p>
      <w:pPr>
        <w:pStyle w:val="Heading2"/>
        <w:keepNext/>
        <w:spacing w:after="110" w:before="240"/>
      </w:pPr>
      <w:r>
        <w:rPr>
          <w:rFonts w:ascii="Calibri" w:cs="Calibri" w:eastAsia="Calibri" w:hAnsi="Calibri"/>
          <w:b/>
          <w:bCs/>
          <w:color w:val="2A7F86"/>
          <w:sz w:val="26"/>
          <w:szCs w:val="26"/>
        </w:rPr>
        <w:t xml:space="preserve">9.2 Monthly program review</w:t>
      </w:r>
    </w:p>
    <w:p>
      <w:pPr>
        <w:spacing w:after="140" w:before="0" w:line="288"/>
      </w:pPr>
      <w:r>
        <w:rPr>
          <w:rFonts w:ascii="Calibri" w:cs="Calibri" w:eastAsia="Calibri" w:hAnsi="Calibri"/>
          <w:sz w:val="22"/>
          <w:szCs w:val="22"/>
        </w:rPr>
        <w:t xml:space="preserve">A 60 minute review is held on the second Thursday of each month with the Chief Engineer, the Client Liaison, and the Program leadership. The agenda covers progress against milestones, the budget forecast, the risk register, and decisions required.</w:t>
      </w:r>
    </w:p>
    <w:p>
      <w:pPr>
        <w:pStyle w:val="Heading2"/>
        <w:keepNext/>
        <w:spacing w:after="110" w:before="240"/>
      </w:pPr>
      <w:r>
        <w:rPr>
          <w:rFonts w:ascii="Calibri" w:cs="Calibri" w:eastAsia="Calibri" w:hAnsi="Calibri"/>
          <w:b/>
          <w:bCs/>
          <w:color w:val="2A7F86"/>
          <w:sz w:val="26"/>
          <w:szCs w:val="26"/>
        </w:rPr>
        <w:t xml:space="preserve">9.3 Status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Measure</w:t>
            </w:r>
          </w:p>
        </w:tc>
        <w:tc>
          <w:tcPr>
            <w:tcW w:type="dxa" w:w="2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Green</w:t>
            </w:r>
          </w:p>
        </w:tc>
        <w:tc>
          <w:tcPr>
            <w:tcW w:type="dxa" w:w="2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Amber</w:t>
            </w:r>
          </w:p>
        </w:tc>
        <w:tc>
          <w:tcPr>
            <w:tcW w:type="dxa" w:w="2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Red</w:t>
            </w:r>
          </w:p>
        </w:tc>
      </w:tr>
      <w:tr>
        <w:trPr>
          <w:cantSplit/>
        </w:trPr>
        <w:tc>
          <w:tcPr>
            <w:tcW w:type="dxa" w:w="3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Schedule: forecast variance on any contractual milestone</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5 working days or fewer</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6 to 15 working days</w:t>
            </w:r>
          </w:p>
        </w:tc>
        <w:tc>
          <w:tcPr>
            <w:tcW w:type="dxa" w:w="2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More than 15 working days</w:t>
            </w:r>
          </w:p>
        </w:tc>
      </w:tr>
      <w:tr>
        <w:trPr>
          <w:cantSplit/>
        </w:trPr>
        <w:tc>
          <w:tcPr>
            <w:tcW w:type="dxa" w:w="3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Budget: forecast at completion against the not-to-exceed value</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At or below</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Up to 5 percent above</w:t>
            </w:r>
          </w:p>
        </w:tc>
        <w:tc>
          <w:tcPr>
            <w:tcW w:type="dxa" w:w="2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More than 5 percent above</w:t>
            </w:r>
          </w:p>
        </w:tc>
      </w:tr>
    </w:tbl>
    <w:p>
      <w:pPr>
        <w:spacing w:after="120"/>
      </w:pPr>
    </w:p>
    <w:p>
      <w:pPr>
        <w:pStyle w:val="Heading2"/>
        <w:keepNext/>
        <w:spacing w:after="110" w:before="240"/>
      </w:pPr>
      <w:r>
        <w:rPr>
          <w:rFonts w:ascii="Calibri" w:cs="Calibri" w:eastAsia="Calibri" w:hAnsi="Calibri"/>
          <w:b/>
          <w:bCs/>
          <w:color w:val="2A7F86"/>
          <w:sz w:val="26"/>
          <w:szCs w:val="26"/>
        </w:rPr>
        <w:t xml:space="preserve">9.4 Escalation</w:t>
      </w:r>
    </w:p>
    <w:p>
      <w:pPr>
        <w:spacing w:after="140" w:before="0" w:line="288"/>
      </w:pPr>
      <w:r>
        <w:rPr>
          <w:rFonts w:ascii="Calibri" w:cs="Calibri" w:eastAsia="Calibri" w:hAnsi="Calibri"/>
          <w:sz w:val="22"/>
          <w:szCs w:val="22"/>
        </w:rPr>
        <w:t xml:space="preserve">An Amber status must be accompanied by a recovery action and a date. A Red status must be escalated to the Chief Engineer by telephone on the day it is identified and followed by a written recovery plan within three business days.</w:t>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10. Risk Management</w:t>
      </w:r>
    </w:p>
    <w:p>
      <w:pPr>
        <w:spacing w:after="140" w:before="0" w:line="288"/>
      </w:pPr>
      <w:r>
        <w:rPr>
          <w:rFonts w:ascii="Calibri" w:cs="Calibri" w:eastAsia="Calibri" w:hAnsi="Calibri"/>
          <w:sz w:val="22"/>
          <w:szCs w:val="22"/>
        </w:rPr>
        <w:t xml:space="preserve">The Program Manager maintains a risk register and an issues log. The register is reviewed at each weekly internal meeting and reissued at least every two weeks. Each risk is scored as likelihood (1 to 5) multiplied by impact (1 to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Score</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Band</w:t>
            </w:r>
          </w:p>
        </w:tc>
        <w:tc>
          <w:tcPr>
            <w:tcW w:type="dxa" w:w="6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Required handling</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1 to 5</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Low</w:t>
            </w:r>
          </w:p>
        </w:tc>
        <w:tc>
          <w:tcPr>
            <w:tcW w:type="dxa" w:w="6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Monitor. Review monthly.</w:t>
            </w:r>
          </w:p>
        </w:tc>
      </w:tr>
      <w:tr>
        <w:trPr>
          <w:cantSplit/>
        </w:trPr>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6 to 11</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Medium</w:t>
            </w:r>
          </w:p>
        </w:tc>
        <w:tc>
          <w:tcPr>
            <w:tcW w:type="dxa" w:w="6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Named owner and mitigation. Review every two weeks.</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12 to 15</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High</w:t>
            </w:r>
          </w:p>
        </w:tc>
        <w:tc>
          <w:tcPr>
            <w:tcW w:type="dxa" w:w="6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Mitigation plan with dates. Review weekly.</w:t>
            </w:r>
          </w:p>
        </w:tc>
      </w:tr>
      <w:tr>
        <w:trPr>
          <w:cantSplit/>
        </w:trPr>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16 to 25</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Critical</w:t>
            </w:r>
          </w:p>
        </w:tc>
        <w:tc>
          <w:tcPr>
            <w:tcW w:type="dxa" w:w="6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Report to the Client Liaison within two business days. Must appear in the weekly status email until the score falls below 16.</w:t>
            </w:r>
          </w:p>
        </w:tc>
      </w:tr>
    </w:tbl>
    <w:p>
      <w:pPr>
        <w:spacing w:after="120"/>
      </w:pPr>
    </w:p>
    <w:p>
      <w:pPr>
        <w:spacing w:after="140" w:before="0" w:line="288"/>
      </w:pPr>
      <w:r>
        <w:rPr>
          <w:rFonts w:ascii="Calibri" w:cs="Calibri" w:eastAsia="Calibri" w:hAnsi="Calibri"/>
          <w:sz w:val="22"/>
          <w:szCs w:val="22"/>
        </w:rPr>
        <w:t xml:space="preserve">Any asset found with a condition score of 1 that also sits below the 2040 design flood elevation must be reported to the Chief Engineer within two business days, whether or not field inspection is complete.</w:t>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11. Security and Data Handling</w:t>
      </w:r>
    </w:p>
    <w:p>
      <w:pPr>
        <w:spacing w:after="140" w:before="0" w:line="288"/>
      </w:pPr>
      <w:r>
        <w:rPr>
          <w:rFonts w:ascii="Calibri" w:cs="Calibri" w:eastAsia="Calibri" w:hAnsi="Calibri"/>
          <w:sz w:val="22"/>
          <w:szCs w:val="22"/>
        </w:rPr>
        <w:t xml:space="preserve">Detailed drawings, inspection photographs, and vulnerability findings for port infrastructure are sensitive. All Program data is handled as Controlled Unclassified Information unless CBPA states otherwise in writing.</w:t>
      </w:r>
    </w:p>
    <w:p>
      <w:pPr>
        <w:pStyle w:val="ListParagraph"/>
        <w:numPr>
          <w:ilvl w:val="0"/>
          <w:numId w:val="2"/>
        </w:numPr>
        <w:spacing w:after="70" w:line="280"/>
      </w:pPr>
      <w:r>
        <w:rPr>
          <w:rFonts w:ascii="Calibri" w:cs="Calibri" w:eastAsia="Calibri" w:hAnsi="Calibri"/>
          <w:sz w:val="22"/>
          <w:szCs w:val="22"/>
        </w:rPr>
        <w:t xml:space="preserve">Program data is stored only in the approved Program repository. Copies on personal devices, personal cloud storage, or removable media are prohibited.</w:t>
      </w:r>
    </w:p>
    <w:p>
      <w:pPr>
        <w:pStyle w:val="ListParagraph"/>
        <w:numPr>
          <w:ilvl w:val="0"/>
          <w:numId w:val="2"/>
        </w:numPr>
        <w:spacing w:after="70" w:line="280"/>
      </w:pPr>
      <w:r>
        <w:rPr>
          <w:rFonts w:ascii="Calibri" w:cs="Calibri" w:eastAsia="Calibri" w:hAnsi="Calibri"/>
          <w:sz w:val="22"/>
          <w:szCs w:val="22"/>
        </w:rPr>
        <w:t xml:space="preserve">Program data is shared with the four submitting teams only through the approved data room, and only the subset each team needs to prepare its technical approach.</w:t>
      </w:r>
    </w:p>
    <w:p>
      <w:pPr>
        <w:pStyle w:val="ListParagraph"/>
        <w:numPr>
          <w:ilvl w:val="0"/>
          <w:numId w:val="2"/>
        </w:numPr>
        <w:spacing w:after="70" w:line="280"/>
      </w:pPr>
      <w:r>
        <w:rPr>
          <w:rFonts w:ascii="Calibri" w:cs="Calibri" w:eastAsia="Calibri" w:hAnsi="Calibri"/>
          <w:sz w:val="22"/>
          <w:szCs w:val="22"/>
        </w:rPr>
        <w:t xml:space="preserve">Artificial intelligence tools may be used on Program data only where they operate inside an environment that meets requirement M-07. Public web search must not be used with prompts that contain asset locations, vulnerability findings, or other sensitive Program details.</w:t>
      </w:r>
    </w:p>
    <w:p>
      <w:pPr>
        <w:pStyle w:val="ListParagraph"/>
        <w:numPr>
          <w:ilvl w:val="0"/>
          <w:numId w:val="2"/>
        </w:numPr>
        <w:spacing w:after="70" w:line="280"/>
      </w:pPr>
      <w:r>
        <w:rPr>
          <w:rFonts w:ascii="Calibri" w:cs="Calibri" w:eastAsia="Calibri" w:hAnsi="Calibri"/>
          <w:sz w:val="22"/>
          <w:szCs w:val="22"/>
        </w:rPr>
        <w:t xml:space="preserve">Suspected loss or disclosure of Program data is reported to the Contracts and Compliance Lead within one hour of discovery.</w:t>
      </w:r>
    </w:p>
    <w:p>
      <w:r>
        <w:br w:type="page"/>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Appendix A. Asset Inventory Baseline by Facility and Class</w:t>
      </w:r>
    </w:p>
    <w:p>
      <w:pPr>
        <w:spacing w:after="140" w:before="0" w:line="288"/>
      </w:pPr>
      <w:r>
        <w:rPr>
          <w:rFonts w:ascii="Calibri" w:cs="Calibri" w:eastAsia="Calibri" w:hAnsi="Calibri"/>
          <w:sz w:val="22"/>
          <w:szCs w:val="22"/>
        </w:rPr>
        <w:t xml:space="preserve">Baseline accepted June 26, 2026 (MS-02). These counts are the denominator for all progress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660"/>
        <w:gridCol w:w="1500"/>
      </w:tblGrid>
      <w:tr>
        <w:trPr>
          <w:cantSplit/>
          <w:tblHeader/>
        </w:trPr>
        <w:tc>
          <w:tcPr>
            <w:tcW w:type="dxa" w:w="32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19"/>
                <w:szCs w:val="19"/>
              </w:rPr>
              <w:t xml:space="preserve">Facility</w:t>
            </w:r>
          </w:p>
        </w:tc>
        <w:tc>
          <w:tcPr>
            <w:tcW w:type="dxa" w:w="46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19"/>
                <w:szCs w:val="19"/>
              </w:rPr>
              <w:t xml:space="preserve">Asset class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19"/>
                <w:szCs w:val="19"/>
              </w:rPr>
              <w:t xml:space="preserve">Assets</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Pier 4 Container Terminal</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Piles and substructure</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1,240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Deck and fender systems</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620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Cranes and crane rail</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180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Electrical and lighting</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540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Reefer racks and reefer power</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360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Drainage and utilities</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180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Facility subtotal</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3,120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Pier 7 Bulk Terminal</w:t>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Piles and substructure</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1,380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Deck and fender systems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410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Conveyors and ship loaders</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260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Electrical and lighting</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250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Drainage and utilities</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160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Facility subtotal</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2,460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North Breakwater</w:t>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Armor stone sections</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760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Crest and walkway segments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240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Navigation aids and lighting</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120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Monitoring instruments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60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Facility subtotal</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1,180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Harbor Point Rail Yard</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Track segments and turnouts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1,150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Culverts and drainage</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420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Signals and switch machines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310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Retaining walls and embankments</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260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Lighting and power</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200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Facility subtotal</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2,340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Substation Row</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Transformers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48</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Switchgear and breakers</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392</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Cable vaults and duct banks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510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Protection and control</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330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Structures and foundations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280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Facility subtotal</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1,560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Fuel Dock and Tank Farm</w:t>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Tanks and containment</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96</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Piping and valves</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880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Pumps and loading arms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214</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Piles and substructure</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390</w:t>
            </w:r>
          </w:p>
        </w:tc>
      </w:tr>
      <w:tr>
        <w:trPr>
          <w:cantSplit/>
        </w:trPr>
        <w:tc>
          <w:tcPr>
            <w:tcW w:type="dxa" w:w="32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Fire protection and safety systems</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240</w:t>
            </w:r>
          </w:p>
        </w:tc>
      </w:tr>
      <w:tr>
        <w:trPr>
          <w:cantSplit/>
        </w:trPr>
        <w:tc>
          <w:tcPr>
            <w:tcW w:type="dxa" w:w="32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
            </w:r>
          </w:p>
        </w:tc>
        <w:tc>
          <w:tcPr>
            <w:tcW w:type="dxa" w:w="46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Facility subtotal</w:t>
            </w:r>
          </w:p>
        </w:tc>
        <w:tc>
          <w:tcPr>
            <w:tcW w:type="dxa" w:w="15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1,820</w:t>
            </w:r>
          </w:p>
        </w:tc>
      </w:tr>
      <w:tr>
        <w:trPr>
          <w:cantSplit/>
        </w:trPr>
        <w:tc>
          <w:tcPr>
            <w:tcW w:type="dxa" w:w="32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All facilities</w:t>
            </w:r>
          </w:p>
        </w:tc>
        <w:tc>
          <w:tcPr>
            <w:tcW w:type="dxa" w:w="46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19"/>
                <w:szCs w:val="19"/>
              </w:rPr>
              <w:t xml:space="preserve">Total in-scope assets</w:t>
            </w:r>
          </w:p>
        </w:tc>
        <w:tc>
          <w:tcPr>
            <w:tcW w:type="dxa" w:w="15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19"/>
                <w:szCs w:val="19"/>
              </w:rPr>
              <w:t xml:space="preserve">12,480</w:t>
            </w:r>
          </w:p>
        </w:tc>
      </w:tr>
    </w:tbl>
    <w:p>
      <w:pPr>
        <w:pStyle w:val="Heading1"/>
        <w:keepNext/>
        <w:pBdr>
          <w:bottom w:val="single" w:color="2A7F86" w:sz="8" w:space="4"/>
        </w:pBdr>
        <w:spacing w:after="160" w:before="320"/>
      </w:pPr>
      <w:r>
        <w:rPr>
          <w:rFonts w:ascii="Calibri" w:cs="Calibri" w:eastAsia="Calibri" w:hAnsi="Calibri"/>
          <w:b/>
          <w:bCs/>
          <w:color w:val="1F3A5F"/>
          <w:sz w:val="32"/>
          <w:szCs w:val="32"/>
        </w:rPr>
        <w:t xml:space="preserve">Appendix B. Condition Scale and Risk Tiers</w:t>
      </w:r>
    </w:p>
    <w:p>
      <w:pPr>
        <w:pStyle w:val="Heading2"/>
        <w:keepNext/>
        <w:spacing w:after="110" w:before="240"/>
      </w:pPr>
      <w:r>
        <w:rPr>
          <w:rFonts w:ascii="Calibri" w:cs="Calibri" w:eastAsia="Calibri" w:hAnsi="Calibri"/>
          <w:b/>
          <w:bCs/>
          <w:color w:val="2A7F86"/>
          <w:sz w:val="26"/>
          <w:szCs w:val="26"/>
        </w:rPr>
        <w:t xml:space="preserve">B.1 Condition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cantSplit/>
          <w:tblHeader/>
        </w:trPr>
        <w:tc>
          <w:tcPr>
            <w:tcW w:type="dxa" w:w="10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Score</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Label</w:t>
            </w:r>
          </w:p>
        </w:tc>
        <w:tc>
          <w:tcPr>
            <w:tcW w:type="dxa" w:w="6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Definition</w:t>
            </w:r>
          </w:p>
        </w:tc>
      </w:tr>
      <w:tr>
        <w:trPr>
          <w:cantSplit/>
        </w:trPr>
        <w:tc>
          <w:tcPr>
            <w:tcW w:type="dxa" w:w="1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5</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Very good</w:t>
            </w:r>
          </w:p>
        </w:tc>
        <w:tc>
          <w:tcPr>
            <w:tcW w:type="dxa" w:w="6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New or like new. No defects. Routine maintenance only.</w:t>
            </w:r>
          </w:p>
        </w:tc>
      </w:tr>
      <w:tr>
        <w:trPr>
          <w:cantSplit/>
        </w:trPr>
        <w:tc>
          <w:tcPr>
            <w:tcW w:type="dxa" w:w="1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4</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Good</w:t>
            </w:r>
          </w:p>
        </w:tc>
        <w:tc>
          <w:tcPr>
            <w:tcW w:type="dxa" w:w="6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Minor defects that do not affect function. Maintain on the normal cycle.</w:t>
            </w:r>
          </w:p>
        </w:tc>
      </w:tr>
      <w:tr>
        <w:trPr>
          <w:cantSplit/>
        </w:trPr>
        <w:tc>
          <w:tcPr>
            <w:tcW w:type="dxa" w:w="1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3</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Fair</w:t>
            </w:r>
          </w:p>
        </w:tc>
        <w:tc>
          <w:tcPr>
            <w:tcW w:type="dxa" w:w="6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Moderate defects. Function is intact. Plan repair within five years.</w:t>
            </w:r>
          </w:p>
        </w:tc>
      </w:tr>
      <w:tr>
        <w:trPr>
          <w:cantSplit/>
        </w:trPr>
        <w:tc>
          <w:tcPr>
            <w:tcW w:type="dxa" w:w="10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sz w:val="20"/>
                <w:szCs w:val="20"/>
              </w:rPr>
              <w:t xml:space="preserve">2</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Poor</w:t>
            </w:r>
          </w:p>
        </w:tc>
        <w:tc>
          <w:tcPr>
            <w:tcW w:type="dxa" w:w="67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Significant defects or reduced capacity. Repair within two years.</w:t>
            </w:r>
          </w:p>
        </w:tc>
      </w:tr>
      <w:tr>
        <w:trPr>
          <w:cantSplit/>
        </w:trPr>
        <w:tc>
          <w:tcPr>
            <w:tcW w:type="dxa" w:w="10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Critical</w:t>
            </w:r>
          </w:p>
        </w:tc>
        <w:tc>
          <w:tcPr>
            <w:tcW w:type="dxa" w:w="6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Severe defects, loss of function, or risk of failure. Act now.</w:t>
            </w:r>
          </w:p>
        </w:tc>
      </w:tr>
    </w:tbl>
    <w:p>
      <w:pPr>
        <w:spacing w:after="120"/>
      </w:pPr>
    </w:p>
    <w:p>
      <w:pPr>
        <w:pStyle w:val="Heading2"/>
        <w:keepNext/>
        <w:spacing w:after="110" w:before="240"/>
      </w:pPr>
      <w:r>
        <w:rPr>
          <w:rFonts w:ascii="Calibri" w:cs="Calibri" w:eastAsia="Calibri" w:hAnsi="Calibri"/>
          <w:b/>
          <w:bCs/>
          <w:color w:val="2A7F86"/>
          <w:sz w:val="26"/>
          <w:szCs w:val="26"/>
        </w:rPr>
        <w:t xml:space="preserve">B.2 Risk tier</w:t>
      </w:r>
    </w:p>
    <w:p>
      <w:pPr>
        <w:spacing w:after="140" w:before="0" w:line="288"/>
      </w:pPr>
      <w:r>
        <w:rPr>
          <w:rFonts w:ascii="Calibri" w:cs="Calibri" w:eastAsia="Calibri" w:hAnsi="Calibri"/>
          <w:sz w:val="22"/>
          <w:szCs w:val="22"/>
        </w:rPr>
        <w:t xml:space="preserve">Risk tier combines the condition score, the exposure of the asset to the 2040 and 2070 flood elevations, and the consequence of failure for port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5860"/>
      </w:tblGrid>
      <w:tr>
        <w:trPr>
          <w:cantSplit/>
          <w:tblHeader/>
        </w:trPr>
        <w:tc>
          <w:tcPr>
            <w:tcW w:type="dxa" w:w="11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Tier</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Meaning</w:t>
            </w:r>
          </w:p>
        </w:tc>
        <w:tc>
          <w:tcPr>
            <w:tcW w:type="dxa" w:w="58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Typical profile</w:t>
            </w:r>
          </w:p>
        </w:tc>
      </w:tr>
      <w:tr>
        <w:trPr>
          <w:cantSplit/>
        </w:trPr>
        <w:tc>
          <w:tcPr>
            <w:tcW w:type="dxa" w:w="11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Tier 1</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Act within 12 months</w:t>
            </w:r>
          </w:p>
        </w:tc>
        <w:tc>
          <w:tcPr>
            <w:tcW w:type="dxa" w:w="58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Condition 1 or 2, below the 2040 elevation, failure stops a terminal or creates a safety or environmental hazard</w:t>
            </w:r>
          </w:p>
        </w:tc>
      </w:tr>
      <w:tr>
        <w:trPr>
          <w:cantSplit/>
        </w:trPr>
        <w:tc>
          <w:tcPr>
            <w:tcW w:type="dxa" w:w="11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Tier 2</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Act within 1 to 3 years</w:t>
            </w:r>
          </w:p>
        </w:tc>
        <w:tc>
          <w:tcPr>
            <w:tcW w:type="dxa" w:w="58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Condition 2 or 3, below the 2070 elevation, failure degrades a terminal</w:t>
            </w:r>
          </w:p>
        </w:tc>
      </w:tr>
      <w:tr>
        <w:trPr>
          <w:cantSplit/>
        </w:trPr>
        <w:tc>
          <w:tcPr>
            <w:tcW w:type="dxa" w:w="11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Tier 3</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Plan within 3 to 10 years</w:t>
            </w:r>
          </w:p>
        </w:tc>
        <w:tc>
          <w:tcPr>
            <w:tcW w:type="dxa" w:w="58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Condition 3 or better with some exposure, or poor condition with low consequence</w:t>
            </w:r>
          </w:p>
        </w:tc>
      </w:tr>
      <w:tr>
        <w:trPr>
          <w:cantSplit/>
        </w:trPr>
        <w:tc>
          <w:tcPr>
            <w:tcW w:type="dxa" w:w="11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Tier 4</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Monitor</w:t>
            </w:r>
          </w:p>
        </w:tc>
        <w:tc>
          <w:tcPr>
            <w:tcW w:type="dxa" w:w="58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Good condition, above the 2070 elevation, low consequence</w:t>
            </w:r>
          </w:p>
        </w:tc>
      </w:tr>
    </w:tbl>
    <w:p>
      <w:pPr>
        <w:pStyle w:val="Heading1"/>
        <w:keepNext/>
        <w:pBdr>
          <w:bottom w:val="single" w:color="2A7F86" w:sz="8" w:space="4"/>
        </w:pBdr>
        <w:spacing w:after="160" w:before="320"/>
      </w:pPr>
      <w:r>
        <w:rPr>
          <w:rFonts w:ascii="Calibri" w:cs="Calibri" w:eastAsia="Calibri" w:hAnsi="Calibri"/>
          <w:b/>
          <w:bCs/>
          <w:color w:val="1F3A5F"/>
          <w:sz w:val="32"/>
          <w:szCs w:val="32"/>
        </w:rPr>
        <w:t xml:space="preserve">Appendix C.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Term</w:t>
            </w:r>
          </w:p>
        </w:tc>
        <w:tc>
          <w:tcPr>
            <w:tcW w:type="dxa" w:w="65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Meaning in this document</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CBPA</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Calder Bay Port Authority</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Calder Bay Datum</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The local vertical reference used for all elevations in the Program</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Class 4 estimate</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An early stage cost estimate with an expected accuracy range of minus 30 percent to plus 50 percent</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Design flood elevation</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The water level that CBPA designs to. 3.9 meters for 2040 and 4.6 meters for the 2070 planning scenario</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Level I underwater inspection</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 swim-by visual or tactile inspection of every pile</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Level II underwater inspection</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 detailed inspection of a sample of piles after cleaning marine growth from selected areas</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Not-to-exceed value</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The maximum amount payable under the contract without a modification</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Program repository</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The approved storage location for all Program data</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Reefer</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A refrigerated shipping container that needs continuous electrical power</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pPr>
    <w:r>
      <w:rPr>
        <w:rFonts w:ascii="Calibri" w:cs="Calibri" w:eastAsia="Calibri" w:hAnsi="Calibri"/>
        <w:color w:val="5A6470"/>
        <w:sz w:val="16"/>
        <w:szCs w:val="16"/>
      </w:rPr>
      <w:t xml:space="preserve">Synthetic training material. All organizations, people, and data are fictional.</w:t>
    </w:r>
    <w:r>
      <w:rPr>
        <w:rFonts w:ascii="Calibri" w:cs="Calibri" w:eastAsia="Calibri" w:hAnsi="Calibri"/>
        <w:color w:val="5A64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CE" w:sz="4" w:space="4"/>
      </w:pBdr>
      <w:spacing w:after="0"/>
    </w:pPr>
    <w:r>
      <w:rPr>
        <w:rFonts w:ascii="Calibri" w:cs="Calibri" w:eastAsia="Calibri" w:hAnsi="Calibri"/>
        <w:color w:val="5A6470"/>
        <w:sz w:val="17"/>
        <w:szCs w:val="17"/>
      </w:rPr>
      <w:t xml:space="preserve">Harbor Point Resilience Assessment  |  Project Specification  |  HPRA-SPEC-001 v2.1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Point Resilience Assessment  |  Project Specification  |  HPRA-SPEC-001 v2.1</dc:title>
  <dc:creator>Marrowstone Advisory Group (fictional)</dc:creator>
  <cp:lastModifiedBy>Un-named</cp:lastModifiedBy>
  <cp:revision>1</cp:revision>
  <dcterms:created xsi:type="dcterms:W3CDTF">2026-10-01T12:28:50.068Z</dcterms:created>
  <dcterms:modified xsi:type="dcterms:W3CDTF">2026-10-01T12:28:50.077Z</dcterms:modified>
</cp:coreProperties>
</file>

<file path=docProps/custom.xml><?xml version="1.0" encoding="utf-8"?>
<Properties xmlns="http://schemas.openxmlformats.org/officeDocument/2006/custom-properties" xmlns:vt="http://schemas.openxmlformats.org/officeDocument/2006/docPropsVTypes"/>
</file>