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color w:val="2A7F86"/>
          <w:spacing w:val="60"/>
          <w:sz w:val="22"/>
          <w:szCs w:val="22"/>
        </w:rPr>
        <w:t xml:space="preserve">MARROWSTONE ADVISORY GROUP  |  PROGRAM MANAGEMENT OFFICE</w:t>
      </w:r>
    </w:p>
    <w:p>
      <w:pPr>
        <w:pBdr>
          <w:bottom w:val="single" w:color="1F3A5F" w:sz="18" w:space="10"/>
        </w:pBdr>
        <w:spacing w:after="120"/>
      </w:pPr>
      <w:r>
        <w:rPr>
          <w:rFonts w:ascii="Calibri" w:cs="Calibri" w:eastAsia="Calibri" w:hAnsi="Calibri"/>
          <w:b/>
          <w:bCs/>
          <w:color w:val="1F3A5F"/>
          <w:sz w:val="60"/>
          <w:szCs w:val="60"/>
        </w:rPr>
        <w:t xml:space="preserve">Harbor Point Resilience Assessment</w:t>
      </w:r>
    </w:p>
    <w:p>
      <w:pPr>
        <w:spacing w:after="500" w:before="200"/>
      </w:pPr>
      <w:r>
        <w:rPr>
          <w:rFonts w:ascii="Calibri" w:cs="Calibri" w:eastAsia="Calibri" w:hAnsi="Calibri"/>
          <w:color w:val="5A6470"/>
          <w:sz w:val="30"/>
          <w:szCs w:val="30"/>
        </w:rPr>
        <w:t xml:space="preserve">Weekly Status Notes: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Document control</w:t>
            </w:r>
          </w:p>
        </w:tc>
        <w:tc>
          <w:tcPr>
            <w:tcW w:type="dxa" w:w="6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Document</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Internal working notes from the weekly Program sync</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Period covered</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Weeks ending September 4, 11, 18, and 25, 2026</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Most recent entry</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Week ending September 25, 2026 (starts on the next page)</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Prepared by</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Marisol Vantrease, Program Manager</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Contributors</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Devin Okonkwo-Hale, Tomasz Grelling, Halima Oyelaran-Voss, Bexley Namgung</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Contract</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CBPA-2026-RA-0417, not-to-exceed $4,860,000</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b/>
                <w:bCs/>
                <w:sz w:val="20"/>
                <w:szCs w:val="20"/>
              </w:rPr>
              <w:t xml:space="preserve">Earlier notes</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b w:val="false"/>
                <w:bCs w:val="false"/>
                <w:sz w:val="20"/>
                <w:szCs w:val="20"/>
              </w:rPr>
              <w:t xml:space="preserve">June to August 2026 are in a separate archived file</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F86" w:sz="24"/>
              <w:bottom w:val="none" w:color="FFFFFF" w:sz="0"/>
              <w:right w:val="none" w:color="FFFFFF" w:sz="0"/>
            </w:tcBorders>
            <w:shd w:fill="EAF1F6"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About these notes</w:t>
            </w:r>
          </w:p>
          <w:p>
            <w:pPr>
              <w:spacing w:after="60" w:line="270"/>
            </w:pPr>
            <w:r>
              <w:rPr>
                <w:rFonts w:ascii="Calibri" w:cs="Calibri" w:eastAsia="Calibri" w:hAnsi="Calibri"/>
                <w:sz w:val="21"/>
                <w:szCs w:val="21"/>
              </w:rPr>
              <w:t xml:space="preserve">These are internal working notes. They are the source for the weekly status email to the Calder Bay Port Authority, but they are not written for the client.</w:t>
            </w:r>
          </w:p>
          <w:p>
            <w:pPr>
              <w:spacing w:after="60" w:line="270"/>
            </w:pPr>
            <w:r>
              <w:rPr>
                <w:rFonts w:ascii="Calibri" w:cs="Calibri" w:eastAsia="Calibri" w:hAnsi="Calibri"/>
                <w:sz w:val="21"/>
                <w:szCs w:val="21"/>
              </w:rPr>
              <w:t xml:space="preserve">Entries run newest first. Lines marked INTERNAL ONLY must never be copied into anything that leaves Marrowstone.</w:t>
            </w:r>
          </w:p>
          <w:p>
            <w:pPr>
              <w:spacing w:after="60" w:line="270"/>
            </w:pPr>
            <w:r>
              <w:rPr>
                <w:rFonts w:ascii="Calibri" w:cs="Calibri" w:eastAsia="Calibri" w:hAnsi="Calibri"/>
                <w:sz w:val="21"/>
                <w:szCs w:val="21"/>
              </w:rPr>
              <w:t xml:space="preserve">Where these notes and the Project Specification disagree, the Specification governs.</w:t>
            </w:r>
          </w:p>
        </w:tc>
      </w:tr>
    </w:tbl>
    <w:p>
      <w:r>
        <w:br w:type="page"/>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September 25,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60"/>
        <w:gridCol w:w="2800"/>
      </w:tblGrid>
      <w:tr>
        <w:trPr>
          <w:cantSplit/>
          <w:tblHeader/>
        </w:trPr>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Phase 2 forecast finish</w:t>
            </w:r>
          </w:p>
        </w:tc>
      </w:tr>
      <w:tr>
        <w:trPr>
          <w:cantSplit/>
        </w:trPr>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Amber</w:t>
            </w:r>
          </w:p>
        </w:tc>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Amber</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10,942 of 12,480 (87.7%)</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October 29, 2026 (9 working days late)</w:t>
            </w:r>
          </w:p>
        </w:tc>
      </w:tr>
    </w:tbl>
    <w:p>
      <w:pPr>
        <w:spacing w:after="100"/>
      </w:pPr>
    </w:p>
    <w:p>
      <w:pPr>
        <w:pStyle w:val="Heading2"/>
        <w:keepNext/>
        <w:spacing w:after="110" w:before="240"/>
      </w:pPr>
      <w:r>
        <w:rPr>
          <w:rFonts w:ascii="Calibri" w:cs="Calibri" w:eastAsia="Calibri" w:hAnsi="Calibri"/>
          <w:b/>
          <w:bCs/>
          <w:color w:val="2A7F86"/>
          <w:sz w:val="26"/>
          <w:szCs w:val="26"/>
        </w:rPr>
        <w:t xml:space="preserve">Summary</w:t>
      </w:r>
    </w:p>
    <w:p>
      <w:pPr>
        <w:spacing w:after="140" w:before="0" w:line="288"/>
      </w:pPr>
      <w:r>
        <w:rPr>
          <w:rFonts w:ascii="Calibri" w:cs="Calibri" w:eastAsia="Calibri" w:hAnsi="Calibri"/>
          <w:sz w:val="22"/>
          <w:szCs w:val="22"/>
        </w:rPr>
        <w:t xml:space="preserve">Schedule and budget both remain Amber. Cumulative inspection is 10,942 of 12,480 assets (87.7 percent). The 1,538 assets still to inspect are the difficult ones: 738 at Pier 7 (mostly underwater piles), 234 at Substation Row (energized equipment that needs an outage), and 566 at the Fuel Dock and Tank Farm (confined space entries and submerged piles).</w:t>
      </w:r>
    </w:p>
    <w:p>
      <w:pPr>
        <w:spacing w:after="140" w:before="0" w:line="288"/>
      </w:pPr>
      <w:r>
        <w:rPr>
          <w:rFonts w:ascii="Calibri" w:cs="Calibri" w:eastAsia="Calibri" w:hAnsi="Calibri"/>
          <w:sz w:val="22"/>
          <w:szCs w:val="22"/>
        </w:rPr>
        <w:t xml:space="preserve">The storm cleared but Pier 7 lost three more days. Gantry crane GC-3 failed on Monday and blocked topside access to bents 14 to 22 on September 21 and 22, and sea state was above the limit on September 23. Dive operations restarted on Thursday, September 24. Phase 2 is now forecast to finish on October 29, 2026, nine working days after the October 16 milestone.</w:t>
      </w:r>
    </w:p>
    <w:p>
      <w:pPr>
        <w:spacing w:after="140" w:before="0" w:line="288"/>
      </w:pPr>
      <w:r>
        <w:rPr>
          <w:rFonts w:ascii="Calibri" w:cs="Calibri" w:eastAsia="Calibri" w:hAnsi="Calibri"/>
          <w:sz w:val="22"/>
          <w:szCs w:val="22"/>
        </w:rPr>
        <w:t xml:space="preserve">Forecast at completion is unchanged from last week at $4,987,000, which is $127,000 or 2.6 percent above the $4,860,000 not-to-exceed value. The drivers are the 14 additional dive days at Pier 7 ($94,500) and storm standby and overtime ($32,500). Actual cost to date is $2,731,400.</w:t>
      </w:r>
    </w:p>
    <w:p>
      <w:pPr>
        <w:spacing w:after="140" w:before="0" w:line="288"/>
      </w:pPr>
      <w:r>
        <w:rPr>
          <w:rFonts w:ascii="Calibri" w:cs="Calibri" w:eastAsia="Calibri" w:hAnsi="Calibri"/>
          <w:sz w:val="22"/>
          <w:szCs w:val="22"/>
        </w:rPr>
        <w:t xml:space="preserve">Three decisions are now needed from CBPA. They are listed below and they are time critical.</w:t>
      </w:r>
    </w:p>
    <w:p>
      <w:pPr>
        <w:pStyle w:val="Heading2"/>
        <w:keepNext/>
        <w:spacing w:after="110" w:before="240"/>
      </w:pPr>
      <w:r>
        <w:rPr>
          <w:rFonts w:ascii="Calibri" w:cs="Calibri" w:eastAsia="Calibri" w:hAnsi="Calibri"/>
          <w:b/>
          <w:bCs/>
          <w:color w:val="2A7F86"/>
          <w:sz w:val="26"/>
          <w:szCs w:val="26"/>
        </w:rPr>
        <w:t xml:space="preserve">Decisions needed from CBPA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100"/>
        <w:gridCol w:w="2900"/>
      </w:tblGrid>
      <w:tr>
        <w:trPr>
          <w:cantSplit/>
          <w:tblHeader/>
        </w:trPr>
        <w:tc>
          <w:tcPr>
            <w:tcW w:type="dxa" w:w="4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Decision</w:t>
            </w:r>
          </w:p>
        </w:tc>
        <w:tc>
          <w:tcPr>
            <w:tcW w:type="dxa" w:w="21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Needed by</w:t>
            </w:r>
          </w:p>
        </w:tc>
        <w:tc>
          <w:tcPr>
            <w:tcW w:type="dxa" w:w="2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Why the date matters</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Approve or decline Contract Modification 03 (14 additional dive days at Pier 7, $94,500)</w:t>
            </w:r>
          </w:p>
        </w:tc>
        <w:tc>
          <w:tcPr>
            <w:tcW w:type="dxa" w:w="21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2, 2026</w:t>
            </w:r>
          </w:p>
        </w:tc>
        <w:tc>
          <w:tcPr>
            <w:tcW w:type="dxa" w:w="2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Without approval the dive crew demobilizes on October 5 and Pier 7 cannot be completed</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Approve a planned Saturday outage at Substation Row to inspect 234 energized assets. Candidate dates are October 10 or October 17</w:t>
            </w:r>
          </w:p>
        </w:tc>
        <w:tc>
          <w:tcPr>
            <w:tcW w:type="dxa" w:w="21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2, 2026 to hold the October 10 window</w:t>
            </w:r>
          </w:p>
        </w:tc>
        <w:tc>
          <w:tcPr>
            <w:tcW w:type="dxa" w:w="2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The Chief Engineer must approve outages at least five business days ahead</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Confirm in writing whether CBPA will consider a modification moving the final report from December 18, 2026 to January 15, 2027</w:t>
            </w:r>
          </w:p>
        </w:tc>
        <w:tc>
          <w:tcPr>
            <w:tcW w:type="dxa" w:w="21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October 9, 2026</w:t>
            </w:r>
          </w:p>
        </w:tc>
        <w:tc>
          <w:tcPr>
            <w:tcW w:type="dxa" w:w="2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Until then we plan and report against December 18</w:t>
            </w:r>
          </w:p>
        </w:tc>
      </w:tr>
    </w:tbl>
    <w:p>
      <w:pPr>
        <w:spacing w:after="100"/>
      </w:pPr>
    </w:p>
    <w:p>
      <w:pPr>
        <w:pStyle w:val="Heading2"/>
        <w:keepNext/>
        <w:spacing w:after="110" w:before="240"/>
      </w:pPr>
      <w:r>
        <w:rPr>
          <w:rFonts w:ascii="Calibri" w:cs="Calibri" w:eastAsia="Calibri" w:hAnsi="Calibri"/>
          <w:b/>
          <w:bCs/>
          <w:color w:val="2A7F86"/>
          <w:sz w:val="26"/>
          <w:szCs w:val="26"/>
        </w:rPr>
        <w:t xml:space="preserve">Inspection progress by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1500"/>
        <w:gridCol w:w="1500"/>
        <w:gridCol w:w="1400"/>
      </w:tblGrid>
      <w:tr>
        <w:trPr>
          <w:cantSplit/>
          <w:tblHeader/>
        </w:trPr>
        <w:tc>
          <w:tcPr>
            <w:tcW w:type="dxa" w:w="3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Facility</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Baseline</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Inspected</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Remaining</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Complete</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4 Container Terminal</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7 Bulk Terminal</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1,722</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738</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70.0%</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North Breakwater</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Harbor Point Rail Yard</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100.0%</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Substation Row</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1,326</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85.0%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Fuel Dock and Tank Farm</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1,820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1,254</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566</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68.9%</w:t>
            </w:r>
          </w:p>
        </w:tc>
      </w:tr>
      <w:tr>
        <w:trPr>
          <w:cantSplit/>
        </w:trPr>
        <w:tc>
          <w:tcPr>
            <w:tcW w:type="dxa" w:w="35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12,480</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10,942</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1,538</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87.7%</w:t>
            </w:r>
          </w:p>
        </w:tc>
      </w:tr>
    </w:tbl>
    <w:p>
      <w:pPr>
        <w:spacing w:after="100"/>
      </w:pPr>
    </w:p>
    <w:p>
      <w:pPr>
        <w:pStyle w:val="Heading2"/>
        <w:keepNext/>
        <w:spacing w:after="110" w:before="240"/>
      </w:pPr>
      <w:r>
        <w:rPr>
          <w:rFonts w:ascii="Calibri" w:cs="Calibri" w:eastAsia="Calibri" w:hAnsi="Calibri"/>
          <w:b/>
          <w:bCs/>
          <w:color w:val="2A7F86"/>
          <w:sz w:val="26"/>
          <w:szCs w:val="26"/>
        </w:rPr>
        <w:t xml:space="preserve">Condition findings to date</w:t>
      </w:r>
    </w:p>
    <w:p>
      <w:pPr>
        <w:spacing w:after="140" w:before="0" w:line="288"/>
      </w:pPr>
      <w:r>
        <w:rPr>
          <w:rFonts w:ascii="Calibri" w:cs="Calibri" w:eastAsia="Calibri" w:hAnsi="Calibri"/>
          <w:sz w:val="22"/>
          <w:szCs w:val="22"/>
        </w:rPr>
        <w:t xml:space="preserve">Of the 10,942 assets inspected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200"/>
        <w:gridCol w:w="2400"/>
      </w:tblGrid>
      <w:tr>
        <w:trPr>
          <w:cantSplit/>
          <w:tblHeader/>
        </w:trPr>
        <w:tc>
          <w:tcPr>
            <w:tcW w:type="dxa" w:w="2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Condition score</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Label</w:t>
            </w:r>
          </w:p>
        </w:tc>
        <w:tc>
          <w:tcPr>
            <w:tcW w:type="dxa" w:w="22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Assets</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Share of inspected</w:t>
            </w:r>
          </w:p>
        </w:tc>
      </w:tr>
      <w:tr>
        <w:trPr>
          <w:cantSplit/>
        </w:trPr>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1</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Critical</w:t>
            </w:r>
          </w:p>
        </w:tc>
        <w:tc>
          <w:tcPr>
            <w:tcW w:type="dxa" w:w="2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187</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1.7%</w:t>
            </w:r>
          </w:p>
        </w:tc>
      </w:tr>
      <w:tr>
        <w:trPr>
          <w:cantSplit/>
        </w:trPr>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2</w:t>
            </w:r>
          </w:p>
        </w:tc>
        <w:tc>
          <w:tcPr>
            <w:tcW w:type="dxa" w:w="2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Poor</w:t>
            </w:r>
          </w:p>
        </w:tc>
        <w:tc>
          <w:tcPr>
            <w:tcW w:type="dxa" w:w="2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1,204</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11.0%</w:t>
            </w:r>
          </w:p>
        </w:tc>
      </w:tr>
      <w:tr>
        <w:trPr>
          <w:cantSplit/>
        </w:trPr>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3</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Fair</w:t>
            </w:r>
          </w:p>
        </w:tc>
        <w:tc>
          <w:tcPr>
            <w:tcW w:type="dxa" w:w="2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3,611</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33.0%</w:t>
            </w:r>
          </w:p>
        </w:tc>
      </w:tr>
      <w:tr>
        <w:trPr>
          <w:cantSplit/>
        </w:trPr>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4</w:t>
            </w:r>
          </w:p>
        </w:tc>
        <w:tc>
          <w:tcPr>
            <w:tcW w:type="dxa" w:w="2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Good</w:t>
            </w:r>
          </w:p>
        </w:tc>
        <w:tc>
          <w:tcPr>
            <w:tcW w:type="dxa" w:w="2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4,286</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39.2%</w:t>
            </w:r>
          </w:p>
        </w:tc>
      </w:tr>
      <w:tr>
        <w:trPr>
          <w:cantSplit/>
        </w:trPr>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5</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Very good</w:t>
            </w:r>
          </w:p>
        </w:tc>
        <w:tc>
          <w:tcPr>
            <w:tcW w:type="dxa" w:w="2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1,654</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15.1%</w:t>
            </w:r>
          </w:p>
        </w:tc>
      </w:tr>
      <w:tr>
        <w:trPr>
          <w:cantSplit/>
        </w:trPr>
        <w:tc>
          <w:tcPr>
            <w:tcW w:type="dxa" w:w="20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Total</w:t>
            </w:r>
          </w:p>
        </w:tc>
        <w:tc>
          <w:tcPr>
            <w:tcW w:type="dxa" w:w="27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
            </w:r>
          </w:p>
        </w:tc>
        <w:tc>
          <w:tcPr>
            <w:tcW w:type="dxa" w:w="22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10,942</w:t>
            </w:r>
          </w:p>
        </w:tc>
        <w:tc>
          <w:tcPr>
            <w:tcW w:type="dxa" w:w="2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100.0%</w:t>
            </w:r>
          </w:p>
        </w:tc>
      </w:tr>
    </w:tbl>
    <w:p>
      <w:pPr>
        <w:spacing w:after="100"/>
      </w:pPr>
    </w:p>
    <w:p>
      <w:pPr>
        <w:pStyle w:val="Heading2"/>
        <w:keepNext/>
        <w:spacing w:after="110" w:before="240"/>
      </w:pPr>
      <w:r>
        <w:rPr>
          <w:rFonts w:ascii="Calibri" w:cs="Calibri" w:eastAsia="Calibri" w:hAnsi="Calibri"/>
          <w:b/>
          <w:bCs/>
          <w:color w:val="2A7F86"/>
          <w:sz w:val="26"/>
          <w:szCs w:val="26"/>
        </w:rPr>
        <w:t xml:space="preserve">Budget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cantSplit/>
          <w:tblHeader/>
        </w:trPr>
        <w:tc>
          <w:tcPr>
            <w:tcW w:type="dxa" w:w="4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Measure</w:t>
            </w:r>
          </w:p>
        </w:tc>
        <w:tc>
          <w:tcPr>
            <w:tcW w:type="dxa" w:w="5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Value</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Not-to-exceed value</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$4,860,000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Actual cost to date</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$2,731,400 (56.2% of not-to-exceed)</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Forecast at completion</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$4,987,000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bCs/>
                <w:sz w:val="20"/>
                <w:szCs w:val="20"/>
              </w:rPr>
              <w:t xml:space="preserve">Variance to not-to-exceed</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val="false"/>
                <w:bCs w:val="false"/>
                <w:sz w:val="20"/>
                <w:szCs w:val="20"/>
              </w:rPr>
              <w:t xml:space="preserve">$127,000 over (2.6%)</w:t>
            </w:r>
          </w:p>
        </w:tc>
      </w:tr>
    </w:tbl>
    <w:p>
      <w:pPr>
        <w:spacing w:after="100"/>
      </w:pPr>
    </w:p>
    <w:p>
      <w:pPr>
        <w:pStyle w:val="Heading2"/>
        <w:keepNext/>
        <w:spacing w:after="110" w:before="240"/>
      </w:pPr>
      <w:r>
        <w:rPr>
          <w:rFonts w:ascii="Calibri" w:cs="Calibri" w:eastAsia="Calibri" w:hAnsi="Calibri"/>
          <w:b/>
          <w:bCs/>
          <w:color w:val="2A7F86"/>
          <w:sz w:val="26"/>
          <w:szCs w:val="26"/>
        </w:rPr>
        <w:t xml:space="preserve">Technical approach evaluation</w:t>
      </w:r>
    </w:p>
    <w:p>
      <w:pPr>
        <w:pStyle w:val="ListParagraph"/>
        <w:numPr>
          <w:ilvl w:val="0"/>
          <w:numId w:val="2"/>
        </w:numPr>
        <w:spacing w:after="70" w:line="280"/>
      </w:pPr>
      <w:r>
        <w:rPr>
          <w:rFonts w:ascii="Calibri" w:cs="Calibri" w:eastAsia="Calibri" w:hAnsi="Calibri"/>
          <w:sz w:val="22"/>
          <w:szCs w:val="22"/>
        </w:rPr>
        <w:t xml:space="preserve">Four of five panel members have completed individual scoring. Scores are due from the last member by October 2.</w:t>
      </w:r>
    </w:p>
    <w:p>
      <w:pPr>
        <w:pStyle w:val="ListParagraph"/>
        <w:numPr>
          <w:ilvl w:val="0"/>
          <w:numId w:val="2"/>
        </w:numPr>
        <w:spacing w:after="70" w:line="280"/>
      </w:pPr>
      <w:r>
        <w:rPr>
          <w:rFonts w:ascii="Calibri" w:cs="Calibri" w:eastAsia="Calibri" w:hAnsi="Calibri"/>
          <w:sz w:val="22"/>
          <w:szCs w:val="22"/>
        </w:rPr>
        <w:t xml:space="preserve">Tomasz completed the M-07 assessment of the Verdant Quay hosting proposal and has asked one follow-up question.</w:t>
      </w:r>
    </w:p>
    <w:p>
      <w:pPr>
        <w:pStyle w:val="ListParagraph"/>
        <w:numPr>
          <w:ilvl w:val="0"/>
          <w:numId w:val="2"/>
        </w:numPr>
        <w:spacing w:after="70" w:line="280"/>
      </w:pPr>
      <w:r>
        <w:rPr>
          <w:rFonts w:ascii="Calibri" w:cs="Calibri" w:eastAsia="Calibri" w:hAnsi="Calibri"/>
          <w:sz w:val="22"/>
          <w:szCs w:val="22"/>
        </w:rPr>
        <w:t xml:space="preserve">The recommendation memo remains on track for October 23 (MS-06) and the decision meeting for October 29 (MS-07).</w:t>
      </w:r>
    </w:p>
    <w:p>
      <w:pPr>
        <w:pStyle w:val="Heading2"/>
        <w:keepNext/>
        <w:spacing w:after="110" w:before="240"/>
      </w:pPr>
      <w:r>
        <w:rPr>
          <w:rFonts w:ascii="Calibri" w:cs="Calibri" w:eastAsia="Calibri" w:hAnsi="Calibri"/>
          <w:b/>
          <w:bCs/>
          <w:color w:val="2A7F86"/>
          <w:sz w:val="26"/>
          <w:szCs w:val="26"/>
        </w:rPr>
        <w:t xml:space="preserve">Client touchpoint</w:t>
      </w:r>
    </w:p>
    <w:p>
      <w:pPr>
        <w:pStyle w:val="ListParagraph"/>
        <w:numPr>
          <w:ilvl w:val="0"/>
          <w:numId w:val="2"/>
        </w:numPr>
        <w:spacing w:after="70" w:line="280"/>
      </w:pPr>
      <w:r>
        <w:rPr>
          <w:rFonts w:ascii="Calibri" w:cs="Calibri" w:eastAsia="Calibri" w:hAnsi="Calibri"/>
          <w:sz w:val="22"/>
          <w:szCs w:val="22"/>
        </w:rPr>
        <w:t xml:space="preserve">Thursday call with Priya on September 24. Marisol raised the final report date. Priya said CBPA could probably live with January 15, but that it would need the Contracting Officer and the Chief Engineer, and that she could not commit to it. Nothing is in writing.</w:t>
      </w:r>
    </w:p>
    <w:p>
      <w:pPr>
        <w:pStyle w:val="ListParagraph"/>
        <w:numPr>
          <w:ilvl w:val="0"/>
          <w:numId w:val="2"/>
        </w:numPr>
        <w:spacing w:after="70" w:line="280"/>
      </w:pPr>
      <w:r>
        <w:rPr>
          <w:rFonts w:ascii="Calibri" w:cs="Calibri" w:eastAsia="Calibri" w:hAnsi="Calibri"/>
          <w:sz w:val="22"/>
          <w:szCs w:val="22"/>
        </w:rPr>
        <w:t xml:space="preserve">Priya repeated that the October 8 program review is where the Chief Engineer will want a firm answer on dates and cost.</w:t>
      </w:r>
    </w:p>
    <w:p>
      <w:pPr>
        <w:pStyle w:val="Heading2"/>
        <w:keepNext/>
        <w:spacing w:after="110" w:before="240"/>
      </w:pPr>
      <w:r>
        <w:rPr>
          <w:rFonts w:ascii="Calibri" w:cs="Calibri" w:eastAsia="Calibri" w:hAnsi="Calibri"/>
          <w:b/>
          <w:bCs/>
          <w:color w:val="2A7F86"/>
          <w:sz w:val="26"/>
          <w:szCs w:val="26"/>
        </w:rPr>
        <w:t xml:space="preserve">Decisions made this week</w:t>
      </w:r>
    </w:p>
    <w:p>
      <w:pPr>
        <w:pStyle w:val="ListParagraph"/>
        <w:numPr>
          <w:ilvl w:val="0"/>
          <w:numId w:val="2"/>
        </w:numPr>
        <w:spacing w:after="70" w:line="280"/>
      </w:pPr>
      <w:r>
        <w:rPr>
          <w:rFonts w:ascii="Calibri" w:cs="Calibri" w:eastAsia="Calibri" w:hAnsi="Calibri"/>
          <w:sz w:val="22"/>
          <w:szCs w:val="22"/>
        </w:rPr>
        <w:t xml:space="preserve">Tomasz confirmed the position on the final report: the contractual date remains December 18, 2026 until a modification is signed. Under Specification Section 8.3, all external communication uses December 18. January 15, 2027 may be described only as proposed and not approved. The note in last week's entry that said the date is now January 15 was wrong and should not be repeated.</w:t>
      </w:r>
    </w:p>
    <w:p>
      <w:pPr>
        <w:pStyle w:val="ListParagraph"/>
        <w:numPr>
          <w:ilvl w:val="0"/>
          <w:numId w:val="2"/>
        </w:numPr>
        <w:spacing w:after="70" w:line="280"/>
      </w:pPr>
      <w:r>
        <w:rPr>
          <w:rFonts w:ascii="Calibri" w:cs="Calibri" w:eastAsia="Calibri" w:hAnsi="Calibri"/>
          <w:sz w:val="22"/>
          <w:szCs w:val="22"/>
        </w:rPr>
        <w:t xml:space="preserve">Hold the dive crew through October 2 at our risk while Modification 03 is pending.</w:t>
      </w:r>
    </w:p>
    <w:p>
      <w:pPr>
        <w:pStyle w:val="Heading2"/>
        <w:keepNext/>
        <w:spacing w:after="110" w:before="240"/>
      </w:pPr>
      <w:r>
        <w:rPr>
          <w:rFonts w:ascii="Calibri" w:cs="Calibri" w:eastAsia="Calibri" w:hAnsi="Calibri"/>
          <w:b/>
          <w:bCs/>
          <w:color w:val="2A7F86"/>
          <w:sz w:val="26"/>
          <w:szCs w:val="26"/>
        </w:rPr>
        <w:t xml:space="preserve">Risks and issues</w:t>
      </w:r>
    </w:p>
    <w:p>
      <w:pPr>
        <w:pStyle w:val="ListParagraph"/>
        <w:numPr>
          <w:ilvl w:val="0"/>
          <w:numId w:val="2"/>
        </w:numPr>
        <w:spacing w:after="70" w:line="280"/>
      </w:pPr>
      <w:r>
        <w:rPr>
          <w:rFonts w:ascii="Calibri" w:cs="Calibri" w:eastAsia="Calibri" w:hAnsi="Calibri"/>
          <w:sz w:val="22"/>
          <w:szCs w:val="22"/>
        </w:rPr>
        <w:t xml:space="preserve">Top three open risks by score are in risk register version 7. A new version is due October 5 and will pick up this week's numbers.</w:t>
      </w:r>
    </w:p>
    <w:p>
      <w:pPr>
        <w:pStyle w:val="ListParagraph"/>
        <w:numPr>
          <w:ilvl w:val="0"/>
          <w:numId w:val="2"/>
        </w:numPr>
        <w:spacing w:after="70" w:line="280"/>
      </w:pPr>
      <w:r>
        <w:rPr>
          <w:rFonts w:ascii="Calibri" w:cs="Calibri" w:eastAsia="Calibri" w:hAnsi="Calibri"/>
          <w:sz w:val="22"/>
          <w:szCs w:val="22"/>
        </w:rPr>
        <w:t xml:space="preserve">Transformer T-4: no change. See risk register R-011. The interim flood barrier quote came in at $58,000.</w:t>
      </w:r>
    </w:p>
    <w:p>
      <w:pPr>
        <w:pStyle w:val="ListParagraph"/>
        <w:numPr>
          <w:ilvl w:val="0"/>
          <w:numId w:val="2"/>
        </w:numPr>
        <w:spacing w:after="70" w:line="280"/>
      </w:pPr>
      <w:r>
        <w:rPr>
          <w:rFonts w:ascii="Calibri" w:cs="Calibri" w:eastAsia="Calibri" w:hAnsi="Calibri"/>
          <w:sz w:val="22"/>
          <w:szCs w:val="22"/>
        </w:rPr>
        <w:t xml:space="preserve">Risk R-015 (dive subcontractor demobilizes) is now the most time sensitive item on the Program.</w:t>
      </w:r>
    </w:p>
    <w:p>
      <w:pPr>
        <w:pStyle w:val="Heading2"/>
        <w:keepNext/>
        <w:spacing w:after="110" w:before="240"/>
      </w:pPr>
      <w:r>
        <w:rPr>
          <w:rFonts w:ascii="Calibri" w:cs="Calibri" w:eastAsia="Calibri" w:hAnsi="Calibri"/>
          <w:b/>
          <w:bCs/>
          <w:color w:val="2A7F86"/>
          <w:sz w:val="26"/>
          <w:szCs w:val="26"/>
        </w:rPr>
        <w:t xml:space="preserve">Look-ahead: week of September 28</w:t>
      </w:r>
    </w:p>
    <w:p>
      <w:pPr>
        <w:pStyle w:val="ListParagraph"/>
        <w:numPr>
          <w:ilvl w:val="0"/>
          <w:numId w:val="2"/>
        </w:numPr>
        <w:spacing w:after="70" w:line="280"/>
      </w:pPr>
      <w:r>
        <w:rPr>
          <w:rFonts w:ascii="Calibri" w:cs="Calibri" w:eastAsia="Calibri" w:hAnsi="Calibri"/>
          <w:sz w:val="22"/>
          <w:szCs w:val="22"/>
        </w:rPr>
        <w:t xml:space="preserve">Level II dives continue at Pier 7, bents 14 to 22.</w:t>
      </w:r>
    </w:p>
    <w:p>
      <w:pPr>
        <w:pStyle w:val="ListParagraph"/>
        <w:numPr>
          <w:ilvl w:val="0"/>
          <w:numId w:val="2"/>
        </w:numPr>
        <w:spacing w:after="70" w:line="280"/>
      </w:pPr>
      <w:r>
        <w:rPr>
          <w:rFonts w:ascii="Calibri" w:cs="Calibri" w:eastAsia="Calibri" w:hAnsi="Calibri"/>
          <w:sz w:val="22"/>
          <w:szCs w:val="22"/>
        </w:rPr>
        <w:t xml:space="preserve">Confined space entries at Fuel Dock Tanks 3 and 4.</w:t>
      </w:r>
    </w:p>
    <w:p>
      <w:pPr>
        <w:pStyle w:val="ListParagraph"/>
        <w:numPr>
          <w:ilvl w:val="0"/>
          <w:numId w:val="2"/>
        </w:numPr>
        <w:spacing w:after="70" w:line="280"/>
      </w:pPr>
      <w:r>
        <w:rPr>
          <w:rFonts w:ascii="Calibri" w:cs="Calibri" w:eastAsia="Calibri" w:hAnsi="Calibri"/>
          <w:sz w:val="22"/>
          <w:szCs w:val="22"/>
        </w:rPr>
        <w:t xml:space="preserve">Final panel scores due October 2. Reconciliation meeting October 6.</w:t>
      </w:r>
    </w:p>
    <w:p>
      <w:pPr>
        <w:pStyle w:val="ListParagraph"/>
        <w:numPr>
          <w:ilvl w:val="0"/>
          <w:numId w:val="2"/>
        </w:numPr>
        <w:spacing w:after="70" w:line="280"/>
      </w:pPr>
      <w:r>
        <w:rPr>
          <w:rFonts w:ascii="Calibri" w:cs="Calibri" w:eastAsia="Calibri" w:hAnsi="Calibri"/>
          <w:sz w:val="22"/>
          <w:szCs w:val="22"/>
        </w:rPr>
        <w:t xml:space="preserve">Monthly program review with the Chief Engineer on October 8.</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Send weekly status email to Priya</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25</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Follow up Modification 03 with the Contracting Officer</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29</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Submit outage request for Substation Row with both candidate dates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28</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Confined space entries at Tanks 3 and 4 (permits issued for September 29 and October 1)</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1</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Prepare recovery plan options for the October 8 program review</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6</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Post-storm recheck of 38 armor stone sections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September 30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3A3A" w:sz="24"/>
              <w:bottom w:val="none" w:color="FFFFFF" w:sz="0"/>
              <w:right w:val="none" w:color="FFFFFF" w:sz="0"/>
            </w:tcBorders>
            <w:shd w:fill="FBEDED"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Internal only</w:t>
            </w:r>
          </w:p>
          <w:p>
            <w:pPr>
              <w:spacing w:after="60" w:line="270"/>
            </w:pPr>
            <w:r>
              <w:rPr>
                <w:rFonts w:ascii="Calibri" w:cs="Calibri" w:eastAsia="Calibri" w:hAnsi="Calibri"/>
                <w:sz w:val="21"/>
                <w:szCs w:val="21"/>
              </w:rPr>
              <w:t xml:space="preserve">INTERNAL ONLY. With the overrun, margin on the field inspection line is down to 6.1 percent. Do not share outside Marrowstone.</w:t>
            </w:r>
          </w:p>
          <w:p>
            <w:pPr>
              <w:spacing w:after="60" w:line="270"/>
            </w:pPr>
            <w:r>
              <w:rPr>
                <w:rFonts w:ascii="Calibri" w:cs="Calibri" w:eastAsia="Calibri" w:hAnsi="Calibri"/>
                <w:sz w:val="21"/>
                <w:szCs w:val="21"/>
              </w:rPr>
              <w:t xml:space="preserve">INTERNAL ONLY. If Greywater demobilizes, the remobilization fee is $18,000 and the next crew availability is about three weeks out. Do not quote subcontractor terms to CBPA.</w:t>
            </w:r>
          </w:p>
        </w:tc>
      </w:tr>
    </w:tbl>
    <w:p>
      <w:r>
        <w:br w:type="page"/>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September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60"/>
        <w:gridCol w:w="2800"/>
      </w:tblGrid>
      <w:tr>
        <w:trPr>
          <w:cantSplit/>
          <w:tblHeader/>
        </w:trPr>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Phase 2 forecast finish</w:t>
            </w:r>
          </w:p>
        </w:tc>
      </w:tr>
      <w:tr>
        <w:trPr>
          <w:cantSplit/>
        </w:trPr>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Amber</w:t>
            </w:r>
          </w:p>
        </w:tc>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Amber</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10,310 of 12,480 (82.6%)</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October 26, 2026 (6 working days late)</w:t>
            </w:r>
          </w:p>
        </w:tc>
      </w:tr>
    </w:tbl>
    <w:p>
      <w:pPr>
        <w:spacing w:after="100"/>
      </w:pPr>
    </w:p>
    <w:p>
      <w:pPr>
        <w:pStyle w:val="Heading2"/>
        <w:keepNext/>
        <w:spacing w:after="110" w:before="240"/>
      </w:pPr>
      <w:r>
        <w:rPr>
          <w:rFonts w:ascii="Calibri" w:cs="Calibri" w:eastAsia="Calibri" w:hAnsi="Calibri"/>
          <w:b/>
          <w:bCs/>
          <w:color w:val="2A7F86"/>
          <w:sz w:val="26"/>
          <w:szCs w:val="26"/>
        </w:rPr>
        <w:t xml:space="preserve">Summary</w:t>
      </w:r>
    </w:p>
    <w:p>
      <w:pPr>
        <w:spacing w:after="140" w:before="0" w:line="288"/>
      </w:pPr>
      <w:r>
        <w:rPr>
          <w:rFonts w:ascii="Calibri" w:cs="Calibri" w:eastAsia="Calibri" w:hAnsi="Calibri"/>
          <w:sz w:val="22"/>
          <w:szCs w:val="22"/>
        </w:rPr>
        <w:t xml:space="preserve">A hard week. A tropical storm watch for Tropical Storm Ferrand was issued on Sunday evening, September 13. Dive operations stopped Monday and did not restart. We lost all five working days of underwater work at Pier 7, and exterior work at the Fuel Dock was suspended Tuesday and Wednesday.</w:t>
      </w:r>
    </w:p>
    <w:p>
      <w:pPr>
        <w:spacing w:after="140" w:before="0" w:line="288"/>
      </w:pPr>
      <w:r>
        <w:rPr>
          <w:rFonts w:ascii="Calibri" w:cs="Calibri" w:eastAsia="Calibri" w:hAnsi="Calibri"/>
          <w:sz w:val="22"/>
          <w:szCs w:val="22"/>
        </w:rPr>
        <w:t xml:space="preserve">Land-based crews kept going. The Rail Yard is complete and the North Breakwater was completed on September 12, before the storm. Cumulative inspection is 10,310 of 12,480 assets (82.6 percent). The schedule is now Amber: Phase 2 is forecast to finish October 26, six working days after the October 16 milestone.</w:t>
      </w:r>
    </w:p>
    <w:p>
      <w:pPr>
        <w:spacing w:after="140" w:before="0" w:line="288"/>
      </w:pPr>
      <w:r>
        <w:rPr>
          <w:rFonts w:ascii="Calibri" w:cs="Calibri" w:eastAsia="Calibri" w:hAnsi="Calibri"/>
          <w:sz w:val="22"/>
          <w:szCs w:val="22"/>
        </w:rPr>
        <w:t xml:space="preserve">The storm added $32,500 to the forecast: $20,500 for five days of dive crew standby at $4,100 per day and $12,000 of overtime to pull land-based work forward. Forecast at completion is now $4,987,000, which is $127,000 or 2.6 percent above the not-to-exceed value.</w:t>
      </w:r>
    </w:p>
    <w:p>
      <w:pPr>
        <w:spacing w:after="140" w:before="0" w:line="288"/>
      </w:pPr>
      <w:r>
        <w:rPr>
          <w:rFonts w:ascii="Calibri" w:cs="Calibri" w:eastAsia="Calibri" w:hAnsi="Calibri"/>
          <w:sz w:val="22"/>
          <w:szCs w:val="22"/>
        </w:rPr>
        <w:t xml:space="preserve">Devin's team found a serious problem at Substation Row. Transformer T-4 scored a condition 1. Devin reported it to the Chief Engineer on September 17 under the Section 10 rule. Details are in the risk register under R-011.</w:t>
      </w:r>
    </w:p>
    <w:p>
      <w:pPr>
        <w:pStyle w:val="Heading2"/>
        <w:keepNext/>
        <w:spacing w:after="110" w:before="240"/>
      </w:pPr>
      <w:r>
        <w:rPr>
          <w:rFonts w:ascii="Calibri" w:cs="Calibri" w:eastAsia="Calibri" w:hAnsi="Calibri"/>
          <w:b/>
          <w:bCs/>
          <w:color w:val="2A7F86"/>
          <w:sz w:val="26"/>
          <w:szCs w:val="26"/>
        </w:rPr>
        <w:t xml:space="preserve">Inspection progress by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1500"/>
        <w:gridCol w:w="1500"/>
        <w:gridCol w:w="1400"/>
      </w:tblGrid>
      <w:tr>
        <w:trPr>
          <w:cantSplit/>
          <w:tblHeader/>
        </w:trPr>
        <w:tc>
          <w:tcPr>
            <w:tcW w:type="dxa" w:w="3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Facility</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Baseline</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Inspected</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Remaining</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Complete</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4 Container Terminal</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7 Bulk Terminal</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900</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63.4%</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North Breakwater</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Harbor Point Rail Yard</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100.0%</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Substation Row</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1,092</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468</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Fuel Dock and Tank Farm</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1,820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1,018</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802</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55.9%</w:t>
            </w:r>
          </w:p>
        </w:tc>
      </w:tr>
      <w:tr>
        <w:trPr>
          <w:cantSplit/>
        </w:trPr>
        <w:tc>
          <w:tcPr>
            <w:tcW w:type="dxa" w:w="35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12,480</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10,310</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2,170</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82.6%</w:t>
            </w:r>
          </w:p>
        </w:tc>
      </w:tr>
    </w:tbl>
    <w:p>
      <w:pPr>
        <w:spacing w:after="100"/>
      </w:pPr>
    </w:p>
    <w:p>
      <w:pPr>
        <w:pStyle w:val="Heading2"/>
        <w:keepNext/>
        <w:spacing w:after="110" w:before="240"/>
      </w:pPr>
      <w:r>
        <w:rPr>
          <w:rFonts w:ascii="Calibri" w:cs="Calibri" w:eastAsia="Calibri" w:hAnsi="Calibri"/>
          <w:b/>
          <w:bCs/>
          <w:color w:val="2A7F86"/>
          <w:sz w:val="26"/>
          <w:szCs w:val="26"/>
        </w:rPr>
        <w:t xml:space="preserve">Budget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cantSplit/>
          <w:tblHeader/>
        </w:trPr>
        <w:tc>
          <w:tcPr>
            <w:tcW w:type="dxa" w:w="4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Measure</w:t>
            </w:r>
          </w:p>
        </w:tc>
        <w:tc>
          <w:tcPr>
            <w:tcW w:type="dxa" w:w="5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Value</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Not-to-exceed value</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$4,860,000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Actual cost to date</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$2,556,300 (52.6% of not-to-exceed)</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Forecast at completion</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$4,987,000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bCs/>
                <w:sz w:val="20"/>
                <w:szCs w:val="20"/>
              </w:rPr>
              <w:t xml:space="preserve">Variance to not-to-exceed</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val="false"/>
                <w:bCs w:val="false"/>
                <w:sz w:val="20"/>
                <w:szCs w:val="20"/>
              </w:rPr>
              <w:t xml:space="preserve">$127,000 over (2.6%)</w:t>
            </w:r>
          </w:p>
        </w:tc>
      </w:tr>
    </w:tbl>
    <w:p>
      <w:pPr>
        <w:spacing w:after="100"/>
      </w:pPr>
    </w:p>
    <w:p>
      <w:pPr>
        <w:pStyle w:val="Heading2"/>
        <w:keepNext/>
        <w:spacing w:after="110" w:before="240"/>
      </w:pPr>
      <w:r>
        <w:rPr>
          <w:rFonts w:ascii="Calibri" w:cs="Calibri" w:eastAsia="Calibri" w:hAnsi="Calibri"/>
          <w:b/>
          <w:bCs/>
          <w:color w:val="2A7F86"/>
          <w:sz w:val="26"/>
          <w:szCs w:val="26"/>
        </w:rPr>
        <w:t xml:space="preserve">Technical approach evaluation</w:t>
      </w:r>
    </w:p>
    <w:p>
      <w:pPr>
        <w:pStyle w:val="ListParagraph"/>
        <w:numPr>
          <w:ilvl w:val="0"/>
          <w:numId w:val="2"/>
        </w:numPr>
        <w:spacing w:after="70" w:line="280"/>
      </w:pPr>
      <w:r>
        <w:rPr>
          <w:rFonts w:ascii="Calibri" w:cs="Calibri" w:eastAsia="Calibri" w:hAnsi="Calibri"/>
          <w:sz w:val="22"/>
          <w:szCs w:val="22"/>
        </w:rPr>
        <w:t xml:space="preserve">Individual scoring is under way. Three of five panel members have submitted scores for Technical Merit.</w:t>
      </w:r>
    </w:p>
    <w:p>
      <w:pPr>
        <w:pStyle w:val="ListParagraph"/>
        <w:numPr>
          <w:ilvl w:val="0"/>
          <w:numId w:val="2"/>
        </w:numPr>
        <w:spacing w:after="70" w:line="280"/>
      </w:pPr>
      <w:r>
        <w:rPr>
          <w:rFonts w:ascii="Calibri" w:cs="Calibri" w:eastAsia="Calibri" w:hAnsi="Calibri"/>
          <w:sz w:val="22"/>
          <w:szCs w:val="22"/>
        </w:rPr>
        <w:t xml:space="preserve">Verdant Quay Partners responded to CR-02 on September 17. Tomasz is assessing whether the proposed hosting meets requirement M-07.</w:t>
      </w:r>
    </w:p>
    <w:p>
      <w:pPr>
        <w:pStyle w:val="ListParagraph"/>
        <w:numPr>
          <w:ilvl w:val="0"/>
          <w:numId w:val="2"/>
        </w:numPr>
        <w:spacing w:after="70" w:line="280"/>
      </w:pPr>
      <w:r>
        <w:rPr>
          <w:rFonts w:ascii="Calibri" w:cs="Calibri" w:eastAsia="Calibri" w:hAnsi="Calibri"/>
          <w:sz w:val="22"/>
          <w:szCs w:val="22"/>
        </w:rPr>
        <w:t xml:space="preserve">Early impressions only, not scores: Verdant Quay's price looks high against the budget line, Northlight's schedule float looks thin, and Bracken Ridge's compliance narrative is light on evidence. Sable Marine reads as balanced, but nobody has finished a line by line check of its schedule yet.</w:t>
      </w:r>
    </w:p>
    <w:p>
      <w:pPr>
        <w:pStyle w:val="Heading2"/>
        <w:keepNext/>
        <w:spacing w:after="110" w:before="240"/>
      </w:pPr>
      <w:r>
        <w:rPr>
          <w:rFonts w:ascii="Calibri" w:cs="Calibri" w:eastAsia="Calibri" w:hAnsi="Calibri"/>
          <w:b/>
          <w:bCs/>
          <w:color w:val="2A7F86"/>
          <w:sz w:val="26"/>
          <w:szCs w:val="26"/>
        </w:rPr>
        <w:t xml:space="preserve">Client touchpoint</w:t>
      </w:r>
    </w:p>
    <w:p>
      <w:pPr>
        <w:pStyle w:val="ListParagraph"/>
        <w:numPr>
          <w:ilvl w:val="0"/>
          <w:numId w:val="2"/>
        </w:numPr>
        <w:spacing w:after="70" w:line="280"/>
      </w:pPr>
      <w:r>
        <w:rPr>
          <w:rFonts w:ascii="Calibri" w:cs="Calibri" w:eastAsia="Calibri" w:hAnsi="Calibri"/>
          <w:sz w:val="22"/>
          <w:szCs w:val="22"/>
        </w:rPr>
        <w:t xml:space="preserve">Thursday call with Priya. She learned about the dive stoppage on Monday from the Harbor Operations Center, not from us, and said so plainly. We agreed that any work stoppage gets a same-day notice to her from now on.</w:t>
      </w:r>
    </w:p>
    <w:p>
      <w:pPr>
        <w:pStyle w:val="ListParagraph"/>
        <w:numPr>
          <w:ilvl w:val="0"/>
          <w:numId w:val="2"/>
        </w:numPr>
        <w:spacing w:after="70" w:line="280"/>
      </w:pPr>
      <w:r>
        <w:rPr>
          <w:rFonts w:ascii="Calibri" w:cs="Calibri" w:eastAsia="Calibri" w:hAnsi="Calibri"/>
          <w:sz w:val="22"/>
          <w:szCs w:val="22"/>
        </w:rPr>
        <w:t xml:space="preserve">Priya asked whether the storm delay puts the final report at risk. Marisol said we would come back with a clear answer next week.</w:t>
      </w:r>
    </w:p>
    <w:p>
      <w:pPr>
        <w:pStyle w:val="Heading2"/>
        <w:keepNext/>
        <w:spacing w:after="110" w:before="240"/>
      </w:pPr>
      <w:r>
        <w:rPr>
          <w:rFonts w:ascii="Calibri" w:cs="Calibri" w:eastAsia="Calibri" w:hAnsi="Calibri"/>
          <w:b/>
          <w:bCs/>
          <w:color w:val="2A7F86"/>
          <w:sz w:val="26"/>
          <w:szCs w:val="26"/>
        </w:rPr>
        <w:t xml:space="preserve">Decisions made this week</w:t>
      </w:r>
    </w:p>
    <w:p>
      <w:pPr>
        <w:pStyle w:val="ListParagraph"/>
        <w:numPr>
          <w:ilvl w:val="0"/>
          <w:numId w:val="2"/>
        </w:numPr>
        <w:spacing w:after="70" w:line="280"/>
      </w:pPr>
      <w:r>
        <w:rPr>
          <w:rFonts w:ascii="Calibri" w:cs="Calibri" w:eastAsia="Calibri" w:hAnsi="Calibri"/>
          <w:sz w:val="22"/>
          <w:szCs w:val="22"/>
        </w:rPr>
        <w:t xml:space="preserve">Same-day notice to the Client Liaison for any work stoppage, effective immediately.</w:t>
      </w:r>
    </w:p>
    <w:p>
      <w:pPr>
        <w:pStyle w:val="ListParagraph"/>
        <w:numPr>
          <w:ilvl w:val="0"/>
          <w:numId w:val="2"/>
        </w:numPr>
        <w:spacing w:after="70" w:line="280"/>
      </w:pPr>
      <w:r>
        <w:rPr>
          <w:rFonts w:ascii="Calibri" w:cs="Calibri" w:eastAsia="Calibri" w:hAnsi="Calibri"/>
          <w:sz w:val="22"/>
          <w:szCs w:val="22"/>
        </w:rPr>
        <w:t xml:space="preserve">Post-storm recheck of 38 armor stone sections on the North Breakwater, to be done by the land-based crew next week. The sections stay counted as inspected.</w:t>
      </w:r>
    </w:p>
    <w:p>
      <w:pPr>
        <w:pStyle w:val="ListParagraph"/>
        <w:numPr>
          <w:ilvl w:val="0"/>
          <w:numId w:val="2"/>
        </w:numPr>
        <w:spacing w:after="70" w:line="280"/>
      </w:pPr>
      <w:r>
        <w:rPr>
          <w:rFonts w:ascii="Calibri" w:cs="Calibri" w:eastAsia="Calibri" w:hAnsi="Calibri"/>
          <w:sz w:val="22"/>
          <w:szCs w:val="22"/>
        </w:rPr>
        <w:t xml:space="preserve">Devin proposed moving the final report to January 15, 2027 to absorb the inspection delay and protect the full CBPA review period. Final report: now January 15, 2027. Marisol to raise with Priya.</w:t>
      </w:r>
    </w:p>
    <w:p>
      <w:pPr>
        <w:pStyle w:val="Heading2"/>
        <w:keepNext/>
        <w:spacing w:after="110" w:before="240"/>
      </w:pPr>
      <w:r>
        <w:rPr>
          <w:rFonts w:ascii="Calibri" w:cs="Calibri" w:eastAsia="Calibri" w:hAnsi="Calibri"/>
          <w:b/>
          <w:bCs/>
          <w:color w:val="2A7F86"/>
          <w:sz w:val="26"/>
          <w:szCs w:val="26"/>
        </w:rPr>
        <w:t xml:space="preserve">Risks and issues</w:t>
      </w:r>
    </w:p>
    <w:p>
      <w:pPr>
        <w:pStyle w:val="ListParagraph"/>
        <w:numPr>
          <w:ilvl w:val="0"/>
          <w:numId w:val="2"/>
        </w:numPr>
        <w:spacing w:after="70" w:line="280"/>
      </w:pPr>
      <w:r>
        <w:rPr>
          <w:rFonts w:ascii="Calibri" w:cs="Calibri" w:eastAsia="Calibri" w:hAnsi="Calibri"/>
          <w:sz w:val="22"/>
          <w:szCs w:val="22"/>
        </w:rPr>
        <w:t xml:space="preserve">Risk R-006 (weather closes dive windows) has occurred and is logged as issue I-006. Residual score 12.</w:t>
      </w:r>
    </w:p>
    <w:p>
      <w:pPr>
        <w:pStyle w:val="ListParagraph"/>
        <w:numPr>
          <w:ilvl w:val="0"/>
          <w:numId w:val="2"/>
        </w:numPr>
        <w:spacing w:after="70" w:line="280"/>
      </w:pPr>
      <w:r>
        <w:rPr>
          <w:rFonts w:ascii="Calibri" w:cs="Calibri" w:eastAsia="Calibri" w:hAnsi="Calibri"/>
          <w:sz w:val="22"/>
          <w:szCs w:val="22"/>
        </w:rPr>
        <w:t xml:space="preserve">Risk R-011 (Transformer T-4) opened at 20. Risk R-014 (final report date) opened at 16.</w:t>
      </w:r>
    </w:p>
    <w:p>
      <w:pPr>
        <w:pStyle w:val="ListParagraph"/>
        <w:numPr>
          <w:ilvl w:val="0"/>
          <w:numId w:val="2"/>
        </w:numPr>
        <w:spacing w:after="70" w:line="280"/>
      </w:pPr>
      <w:r>
        <w:rPr>
          <w:rFonts w:ascii="Calibri" w:cs="Calibri" w:eastAsia="Calibri" w:hAnsi="Calibri"/>
          <w:sz w:val="22"/>
          <w:szCs w:val="22"/>
        </w:rPr>
        <w:t xml:space="preserve">Greywater has another client asking for the same dive crew from early October.</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Raise final report date with Priya</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24</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Confirm Greywater crew availability through October</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22</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Complete M-07 assessment of Verdant Quay hosting</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23</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Get a quote for an interim flood barrier at Transformer T-4</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23</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Reissue risk register (version 7)</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September 21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3A3A" w:sz="24"/>
              <w:bottom w:val="none" w:color="FFFFFF" w:sz="0"/>
              <w:right w:val="none" w:color="FFFFFF" w:sz="0"/>
            </w:tcBorders>
            <w:shd w:fill="FBEDED"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Internal only</w:t>
            </w:r>
          </w:p>
          <w:p>
            <w:pPr>
              <w:spacing w:after="60" w:line="270"/>
            </w:pPr>
            <w:r>
              <w:rPr>
                <w:rFonts w:ascii="Calibri" w:cs="Calibri" w:eastAsia="Calibri" w:hAnsi="Calibri"/>
                <w:sz w:val="21"/>
                <w:szCs w:val="21"/>
              </w:rPr>
              <w:t xml:space="preserve">INTERNAL ONLY. Priya was clearly frustrated on Thursday. We need to be first with bad news from here on.</w:t>
            </w:r>
          </w:p>
          <w:p>
            <w:pPr>
              <w:spacing w:after="60" w:line="270"/>
            </w:pPr>
            <w:r>
              <w:rPr>
                <w:rFonts w:ascii="Calibri" w:cs="Calibri" w:eastAsia="Calibri" w:hAnsi="Calibri"/>
                <w:sz w:val="21"/>
                <w:szCs w:val="21"/>
              </w:rPr>
              <w:t xml:space="preserve">INTERNAL ONLY. Greywater agreed to the reduced standby rate of $4,100 per day as a courtesy. Do not quote subcontractor rates to CBPA.</w:t>
            </w:r>
          </w:p>
        </w:tc>
      </w:tr>
    </w:tbl>
    <w:p>
      <w:r>
        <w:br w:type="page"/>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September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60"/>
        <w:gridCol w:w="2800"/>
      </w:tblGrid>
      <w:tr>
        <w:trPr>
          <w:cantSplit/>
          <w:tblHeader/>
        </w:trPr>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Phase 2 forecast finish</w:t>
            </w:r>
          </w:p>
        </w:tc>
      </w:tr>
      <w:tr>
        <w:trPr>
          <w:cantSplit/>
        </w:trPr>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Amber</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8,930 of 12,480 (71.6%)</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October 16, 2026 (on baseline)</w:t>
            </w:r>
          </w:p>
        </w:tc>
      </w:tr>
    </w:tbl>
    <w:p>
      <w:pPr>
        <w:spacing w:after="100"/>
      </w:pPr>
    </w:p>
    <w:p>
      <w:pPr>
        <w:pStyle w:val="Heading2"/>
        <w:keepNext/>
        <w:spacing w:after="110" w:before="240"/>
      </w:pPr>
      <w:r>
        <w:rPr>
          <w:rFonts w:ascii="Calibri" w:cs="Calibri" w:eastAsia="Calibri" w:hAnsi="Calibri"/>
          <w:b/>
          <w:bCs/>
          <w:color w:val="2A7F86"/>
          <w:sz w:val="26"/>
          <w:szCs w:val="26"/>
        </w:rPr>
        <w:t xml:space="preserve">Summary</w:t>
      </w:r>
    </w:p>
    <w:p>
      <w:pPr>
        <w:spacing w:after="140" w:before="0" w:line="288"/>
      </w:pPr>
      <w:r>
        <w:rPr>
          <w:rFonts w:ascii="Calibri" w:cs="Calibri" w:eastAsia="Calibri" w:hAnsi="Calibri"/>
          <w:sz w:val="22"/>
          <w:szCs w:val="22"/>
        </w:rPr>
        <w:t xml:space="preserve">Progress is strong but the budget has turned Amber. Cumulative inspection is 8,930 of 12,480 assets (71.6 percent). Pier 4 is complete. The Rail Yard is at 75 percent and the North Breakwater at 90 percent.</w:t>
      </w:r>
    </w:p>
    <w:p>
      <w:pPr>
        <w:spacing w:after="140" w:before="0" w:line="288"/>
      </w:pPr>
      <w:r>
        <w:rPr>
          <w:rFonts w:ascii="Calibri" w:cs="Calibri" w:eastAsia="Calibri" w:hAnsi="Calibri"/>
          <w:sz w:val="22"/>
          <w:szCs w:val="22"/>
        </w:rPr>
        <w:t xml:space="preserve">The budget change comes from Pier 7. Level I dives found significant section loss on 212 piles in bents 14 to 22. Under requirement M-09 the Level II sample must grow wherever Level I finds significant damage. Rourke Castellanos of Greywater Subsea Services estimates 14 additional dive days. At the contract rate of $6,750 per day that is $94,500, which takes total dive days from 46 to 60 and the forecast at completion to $4,954,500, or 1.9 percent above the not-to-exceed value.</w:t>
      </w:r>
    </w:p>
    <w:p>
      <w:pPr>
        <w:spacing w:after="140" w:before="0" w:line="288"/>
      </w:pPr>
      <w:r>
        <w:rPr>
          <w:rFonts w:ascii="Calibri" w:cs="Calibri" w:eastAsia="Calibri" w:hAnsi="Calibri"/>
          <w:sz w:val="22"/>
          <w:szCs w:val="22"/>
        </w:rPr>
        <w:t xml:space="preserve">Tomasz drafted Contract Modification 03 to cover the 14 additional dive days and sent it to Priya on Thursday, September 10.</w:t>
      </w:r>
    </w:p>
    <w:p>
      <w:pPr>
        <w:pStyle w:val="Heading2"/>
        <w:keepNext/>
        <w:spacing w:after="110" w:before="240"/>
      </w:pPr>
      <w:r>
        <w:rPr>
          <w:rFonts w:ascii="Calibri" w:cs="Calibri" w:eastAsia="Calibri" w:hAnsi="Calibri"/>
          <w:b/>
          <w:bCs/>
          <w:color w:val="2A7F86"/>
          <w:sz w:val="26"/>
          <w:szCs w:val="26"/>
        </w:rPr>
        <w:t xml:space="preserve">Inspection progress by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1500"/>
        <w:gridCol w:w="1500"/>
        <w:gridCol w:w="1400"/>
      </w:tblGrid>
      <w:tr>
        <w:trPr>
          <w:cantSplit/>
          <w:tblHeader/>
        </w:trPr>
        <w:tc>
          <w:tcPr>
            <w:tcW w:type="dxa" w:w="3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Facility</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Baseline</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Inspected</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Remaining</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Complete</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4 Container Terminal</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7 Bulk Terminal</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1,480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980</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60.2%</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North Breakwater</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1,062</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90.0%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Harbor Point Rail Yard</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1,755</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585</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75.0%</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Substation Row</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780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780</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Fuel Dock and Tank Farm</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1,820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733</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1,087</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40.3%</w:t>
            </w:r>
          </w:p>
        </w:tc>
      </w:tr>
      <w:tr>
        <w:trPr>
          <w:cantSplit/>
        </w:trPr>
        <w:tc>
          <w:tcPr>
            <w:tcW w:type="dxa" w:w="35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12,480</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8,930</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3,550</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71.6%</w:t>
            </w:r>
          </w:p>
        </w:tc>
      </w:tr>
    </w:tbl>
    <w:p>
      <w:pPr>
        <w:spacing w:after="100"/>
      </w:pPr>
    </w:p>
    <w:p>
      <w:pPr>
        <w:pStyle w:val="Heading2"/>
        <w:keepNext/>
        <w:spacing w:after="110" w:before="240"/>
      </w:pPr>
      <w:r>
        <w:rPr>
          <w:rFonts w:ascii="Calibri" w:cs="Calibri" w:eastAsia="Calibri" w:hAnsi="Calibri"/>
          <w:b/>
          <w:bCs/>
          <w:color w:val="2A7F86"/>
          <w:sz w:val="26"/>
          <w:szCs w:val="26"/>
        </w:rPr>
        <w:t xml:space="preserve">Budget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cantSplit/>
          <w:tblHeader/>
        </w:trPr>
        <w:tc>
          <w:tcPr>
            <w:tcW w:type="dxa" w:w="4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Measure</w:t>
            </w:r>
          </w:p>
        </w:tc>
        <w:tc>
          <w:tcPr>
            <w:tcW w:type="dxa" w:w="5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Value</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Not-to-exceed value</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$4,860,000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Actual cost to date</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$2,389,600 (49.2% of not-to-exceed)</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Forecast at completion</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$4,954,500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bCs/>
                <w:sz w:val="20"/>
                <w:szCs w:val="20"/>
              </w:rPr>
              <w:t xml:space="preserve">Variance to not-to-exceed</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val="false"/>
                <w:bCs w:val="false"/>
                <w:sz w:val="20"/>
                <w:szCs w:val="20"/>
              </w:rPr>
              <w:t xml:space="preserve">$94,500 over (1.9%)</w:t>
            </w:r>
          </w:p>
        </w:tc>
      </w:tr>
    </w:tbl>
    <w:p>
      <w:pPr>
        <w:spacing w:after="100"/>
      </w:pPr>
    </w:p>
    <w:p>
      <w:pPr>
        <w:pStyle w:val="Heading2"/>
        <w:keepNext/>
        <w:spacing w:after="110" w:before="240"/>
      </w:pPr>
      <w:r>
        <w:rPr>
          <w:rFonts w:ascii="Calibri" w:cs="Calibri" w:eastAsia="Calibri" w:hAnsi="Calibri"/>
          <w:b/>
          <w:bCs/>
          <w:color w:val="2A7F86"/>
          <w:sz w:val="26"/>
          <w:szCs w:val="26"/>
        </w:rPr>
        <w:t xml:space="preserve">Technical approach evaluation</w:t>
      </w:r>
    </w:p>
    <w:p>
      <w:pPr>
        <w:pStyle w:val="ListParagraph"/>
        <w:numPr>
          <w:ilvl w:val="0"/>
          <w:numId w:val="2"/>
        </w:numPr>
        <w:spacing w:after="70" w:line="280"/>
      </w:pPr>
      <w:r>
        <w:rPr>
          <w:rFonts w:ascii="Calibri" w:cs="Calibri" w:eastAsia="Calibri" w:hAnsi="Calibri"/>
          <w:sz w:val="22"/>
          <w:szCs w:val="22"/>
        </w:rPr>
        <w:t xml:space="preserve">Calibration session held September 10 with all five voting members. The panel agreed how to score schedule float and what counts as evidence for requirement M-07.</w:t>
      </w:r>
    </w:p>
    <w:p>
      <w:pPr>
        <w:pStyle w:val="ListParagraph"/>
        <w:numPr>
          <w:ilvl w:val="0"/>
          <w:numId w:val="2"/>
        </w:numPr>
        <w:spacing w:after="70" w:line="280"/>
      </w:pPr>
      <w:r>
        <w:rPr>
          <w:rFonts w:ascii="Calibri" w:cs="Calibri" w:eastAsia="Calibri" w:hAnsi="Calibri"/>
          <w:sz w:val="22"/>
          <w:szCs w:val="22"/>
        </w:rPr>
        <w:t xml:space="preserve">Clarification request CR-02 issued to Verdant Quay Partners on September 11 about where its model would be hosted. Response due September 18.</w:t>
      </w:r>
    </w:p>
    <w:p>
      <w:pPr>
        <w:pStyle w:val="ListParagraph"/>
        <w:numPr>
          <w:ilvl w:val="0"/>
          <w:numId w:val="2"/>
        </w:numPr>
        <w:spacing w:after="70" w:line="280"/>
      </w:pPr>
      <w:r>
        <w:rPr>
          <w:rFonts w:ascii="Calibri" w:cs="Calibri" w:eastAsia="Calibri" w:hAnsi="Calibri"/>
          <w:sz w:val="22"/>
          <w:szCs w:val="22"/>
        </w:rPr>
        <w:t xml:space="preserve">Clarification request CR-03 issued to Northlight Systems asking for named resources behind its draft report date.</w:t>
      </w:r>
    </w:p>
    <w:p>
      <w:pPr>
        <w:pStyle w:val="Heading2"/>
        <w:keepNext/>
        <w:spacing w:after="110" w:before="240"/>
      </w:pPr>
      <w:r>
        <w:rPr>
          <w:rFonts w:ascii="Calibri" w:cs="Calibri" w:eastAsia="Calibri" w:hAnsi="Calibri"/>
          <w:b/>
          <w:bCs/>
          <w:color w:val="2A7F86"/>
          <w:sz w:val="26"/>
          <w:szCs w:val="26"/>
        </w:rPr>
        <w:t xml:space="preserve">Client touchpoint</w:t>
      </w:r>
    </w:p>
    <w:p>
      <w:pPr>
        <w:pStyle w:val="ListParagraph"/>
        <w:numPr>
          <w:ilvl w:val="0"/>
          <w:numId w:val="2"/>
        </w:numPr>
        <w:spacing w:after="70" w:line="280"/>
      </w:pPr>
      <w:r>
        <w:rPr>
          <w:rFonts w:ascii="Calibri" w:cs="Calibri" w:eastAsia="Calibri" w:hAnsi="Calibri"/>
          <w:sz w:val="22"/>
          <w:szCs w:val="22"/>
        </w:rPr>
        <w:t xml:space="preserve">Thursday call with Priya. She acknowledged Modification 03 and said it needs the Contracting Officer, which is likely to take about two weeks.</w:t>
      </w:r>
    </w:p>
    <w:p>
      <w:pPr>
        <w:pStyle w:val="ListParagraph"/>
        <w:numPr>
          <w:ilvl w:val="0"/>
          <w:numId w:val="2"/>
        </w:numPr>
        <w:spacing w:after="70" w:line="280"/>
      </w:pPr>
      <w:r>
        <w:rPr>
          <w:rFonts w:ascii="Calibri" w:cs="Calibri" w:eastAsia="Calibri" w:hAnsi="Calibri"/>
          <w:sz w:val="22"/>
          <w:szCs w:val="22"/>
        </w:rPr>
        <w:t xml:space="preserve">Priya asked for a one-paragraph plain language explanation of why the pile findings matter. Devin to draft.</w:t>
      </w:r>
    </w:p>
    <w:p>
      <w:pPr>
        <w:pStyle w:val="Heading2"/>
        <w:keepNext/>
        <w:spacing w:after="110" w:before="240"/>
      </w:pPr>
      <w:r>
        <w:rPr>
          <w:rFonts w:ascii="Calibri" w:cs="Calibri" w:eastAsia="Calibri" w:hAnsi="Calibri"/>
          <w:b/>
          <w:bCs/>
          <w:color w:val="2A7F86"/>
          <w:sz w:val="26"/>
          <w:szCs w:val="26"/>
        </w:rPr>
        <w:t xml:space="preserve">Decisions made this week</w:t>
      </w:r>
    </w:p>
    <w:p>
      <w:pPr>
        <w:pStyle w:val="ListParagraph"/>
        <w:numPr>
          <w:ilvl w:val="0"/>
          <w:numId w:val="2"/>
        </w:numPr>
        <w:spacing w:after="70" w:line="280"/>
      </w:pPr>
      <w:r>
        <w:rPr>
          <w:rFonts w:ascii="Calibri" w:cs="Calibri" w:eastAsia="Calibri" w:hAnsi="Calibri"/>
          <w:sz w:val="22"/>
          <w:szCs w:val="22"/>
        </w:rPr>
        <w:t xml:space="preserve">Proceed with the larger Level II sample at Pier 7 now rather than wait for the modification. Marisol accepted the commercial risk for up to five dive days.</w:t>
      </w:r>
    </w:p>
    <w:p>
      <w:pPr>
        <w:pStyle w:val="ListParagraph"/>
        <w:numPr>
          <w:ilvl w:val="0"/>
          <w:numId w:val="2"/>
        </w:numPr>
        <w:spacing w:after="70" w:line="280"/>
      </w:pPr>
      <w:r>
        <w:rPr>
          <w:rFonts w:ascii="Calibri" w:cs="Calibri" w:eastAsia="Calibri" w:hAnsi="Calibri"/>
          <w:sz w:val="22"/>
          <w:szCs w:val="22"/>
        </w:rPr>
        <w:t xml:space="preserve">Land-based crews to prioritize Substation Row external inspections while the outage question is open.</w:t>
      </w:r>
    </w:p>
    <w:p>
      <w:pPr>
        <w:pStyle w:val="Heading2"/>
        <w:keepNext/>
        <w:spacing w:after="110" w:before="240"/>
      </w:pPr>
      <w:r>
        <w:rPr>
          <w:rFonts w:ascii="Calibri" w:cs="Calibri" w:eastAsia="Calibri" w:hAnsi="Calibri"/>
          <w:b/>
          <w:bCs/>
          <w:color w:val="2A7F86"/>
          <w:sz w:val="26"/>
          <w:szCs w:val="26"/>
        </w:rPr>
        <w:t xml:space="preserve">Risks and issues</w:t>
      </w:r>
    </w:p>
    <w:p>
      <w:pPr>
        <w:pStyle w:val="ListParagraph"/>
        <w:numPr>
          <w:ilvl w:val="0"/>
          <w:numId w:val="2"/>
        </w:numPr>
        <w:spacing w:after="70" w:line="280"/>
      </w:pPr>
      <w:r>
        <w:rPr>
          <w:rFonts w:ascii="Calibri" w:cs="Calibri" w:eastAsia="Calibri" w:hAnsi="Calibri"/>
          <w:sz w:val="22"/>
          <w:szCs w:val="22"/>
        </w:rPr>
        <w:t xml:space="preserve">Risk R-007 (additional Level II dives) raised to 15. Risk R-009 (forecast above not-to-exceed) opened at 16.</w:t>
      </w:r>
    </w:p>
    <w:p>
      <w:pPr>
        <w:pStyle w:val="ListParagraph"/>
        <w:numPr>
          <w:ilvl w:val="0"/>
          <w:numId w:val="2"/>
        </w:numPr>
        <w:spacing w:after="70" w:line="280"/>
      </w:pPr>
      <w:r>
        <w:rPr>
          <w:rFonts w:ascii="Calibri" w:cs="Calibri" w:eastAsia="Calibri" w:hAnsi="Calibri"/>
          <w:sz w:val="22"/>
          <w:szCs w:val="22"/>
        </w:rPr>
        <w:t xml:space="preserve">A tropical system is forming to the southeast. The forecast office gives a 40 percent chance of a storm watch for Calder Bay next week. Dive operations must stop when a watch is issued.</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Draft plain language note on Pier 7 pile findings for Priya</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15</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Track Modification 03 with the CBPA Contracting Officer</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Weekly</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Ask the Chief Engineer for candidate Saturday outage dates at Substation Row</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16</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Update forecast and risk register for the dive scope</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Bexley Namgung</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September 14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3A3A" w:sz="24"/>
              <w:bottom w:val="none" w:color="FFFFFF" w:sz="0"/>
              <w:right w:val="none" w:color="FFFFFF" w:sz="0"/>
            </w:tcBorders>
            <w:shd w:fill="FBEDED"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Internal only</w:t>
            </w:r>
          </w:p>
          <w:p>
            <w:pPr>
              <w:spacing w:after="60" w:line="270"/>
            </w:pPr>
            <w:r>
              <w:rPr>
                <w:rFonts w:ascii="Calibri" w:cs="Calibri" w:eastAsia="Calibri" w:hAnsi="Calibri"/>
                <w:sz w:val="21"/>
                <w:szCs w:val="21"/>
              </w:rPr>
              <w:t xml:space="preserve">INTERNAL ONLY. If Modification 03 is not approved, margin on the field inspection line drops from 9.4 percent to 7.8 percent. Do not share outside Marrowstone.</w:t>
            </w:r>
          </w:p>
        </w:tc>
      </w:tr>
    </w:tbl>
    <w:p>
      <w:r>
        <w:br w:type="page"/>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September 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60"/>
        <w:gridCol w:w="2800"/>
      </w:tblGrid>
      <w:tr>
        <w:trPr>
          <w:cantSplit/>
          <w:tblHeader/>
        </w:trPr>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Phase 2 forecast finish</w:t>
            </w:r>
          </w:p>
        </w:tc>
      </w:tr>
      <w:tr>
        <w:trPr>
          <w:cantSplit/>
        </w:trPr>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7,105 of 12,480 (56.9%)</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October 16, 2026 (on baseline)</w:t>
            </w:r>
          </w:p>
        </w:tc>
      </w:tr>
    </w:tbl>
    <w:p>
      <w:pPr>
        <w:spacing w:after="100"/>
      </w:pPr>
    </w:p>
    <w:p>
      <w:pPr>
        <w:pStyle w:val="Heading2"/>
        <w:keepNext/>
        <w:spacing w:after="110" w:before="240"/>
      </w:pPr>
      <w:r>
        <w:rPr>
          <w:rFonts w:ascii="Calibri" w:cs="Calibri" w:eastAsia="Calibri" w:hAnsi="Calibri"/>
          <w:b/>
          <w:bCs/>
          <w:color w:val="2A7F86"/>
          <w:sz w:val="26"/>
          <w:szCs w:val="26"/>
        </w:rPr>
        <w:t xml:space="preserve">Summary</w:t>
      </w:r>
    </w:p>
    <w:p>
      <w:pPr>
        <w:spacing w:after="140" w:before="0" w:line="288"/>
      </w:pPr>
      <w:r>
        <w:rPr>
          <w:rFonts w:ascii="Calibri" w:cs="Calibri" w:eastAsia="Calibri" w:hAnsi="Calibri"/>
          <w:sz w:val="22"/>
          <w:szCs w:val="22"/>
        </w:rPr>
        <w:t xml:space="preserve">A clean week. All four technical approaches arrived before the 2:00 PM deadline on Friday, Phase 1 is formally closed, and field inspection passed the halfway mark. Cumulative inspection stands at 7,105 of 12,480 assets (56.9 percent), which is 140 assets ahead of the plan line for this date.</w:t>
      </w:r>
    </w:p>
    <w:p>
      <w:pPr>
        <w:spacing w:after="140" w:before="0" w:line="288"/>
      </w:pPr>
      <w:r>
        <w:rPr>
          <w:rFonts w:ascii="Calibri" w:cs="Calibri" w:eastAsia="Calibri" w:hAnsi="Calibri"/>
          <w:sz w:val="22"/>
          <w:szCs w:val="22"/>
        </w:rPr>
        <w:t xml:space="preserve">Pier 4 is nearly finished. The remaining 156 assets there are reefer racks that can only be reached when the stacks are empty, and Harbor Operations has released a window for Tuesday. Land-based crews move to the Rail Yard and Substation Row next week.</w:t>
      </w:r>
    </w:p>
    <w:p>
      <w:pPr>
        <w:pStyle w:val="Heading2"/>
        <w:keepNext/>
        <w:spacing w:after="110" w:before="240"/>
      </w:pPr>
      <w:r>
        <w:rPr>
          <w:rFonts w:ascii="Calibri" w:cs="Calibri" w:eastAsia="Calibri" w:hAnsi="Calibri"/>
          <w:b/>
          <w:bCs/>
          <w:color w:val="2A7F86"/>
          <w:sz w:val="26"/>
          <w:szCs w:val="26"/>
        </w:rPr>
        <w:t xml:space="preserve">Inspection progress by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1500"/>
        <w:gridCol w:w="1500"/>
        <w:gridCol w:w="1400"/>
      </w:tblGrid>
      <w:tr>
        <w:trPr>
          <w:cantSplit/>
          <w:tblHeader/>
        </w:trPr>
        <w:tc>
          <w:tcPr>
            <w:tcW w:type="dxa" w:w="3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Facility</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Baseline</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Inspected</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Remaining</w:t>
            </w:r>
          </w:p>
        </w:tc>
        <w:tc>
          <w:tcPr>
            <w:tcW w:type="dxa" w:w="1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Complete</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4 Container Terminal</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2,964</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95.0%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7 Bulk Terminal</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1,230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1,230</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50.0%</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North Breakwater</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826</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354</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Harbor Point Rail Yard</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1,170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1,170</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50.0%</w:t>
            </w:r>
          </w:p>
        </w:tc>
      </w:tr>
      <w:tr>
        <w:trPr>
          <w:cantSplit/>
        </w:trPr>
        <w:tc>
          <w:tcPr>
            <w:tcW w:type="dxa" w:w="3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Substation Row</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468</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1,092</w:t>
            </w:r>
          </w:p>
        </w:tc>
        <w:tc>
          <w:tcPr>
            <w:tcW w:type="dxa" w:w="1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30.0%</w:t>
            </w:r>
          </w:p>
        </w:tc>
      </w:tr>
      <w:tr>
        <w:trPr>
          <w:cantSplit/>
        </w:trPr>
        <w:tc>
          <w:tcPr>
            <w:tcW w:type="dxa" w:w="3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Fuel Dock and Tank Farm</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1,820</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447</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1,373</w:t>
            </w:r>
          </w:p>
        </w:tc>
        <w:tc>
          <w:tcPr>
            <w:tcW w:type="dxa" w:w="1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w:t>
            </w:r>
          </w:p>
        </w:tc>
      </w:tr>
      <w:tr>
        <w:trPr>
          <w:cantSplit/>
        </w:trPr>
        <w:tc>
          <w:tcPr>
            <w:tcW w:type="dxa" w:w="35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12,480</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7,105</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5,375</w:t>
            </w:r>
          </w:p>
        </w:tc>
        <w:tc>
          <w:tcPr>
            <w:tcW w:type="dxa" w:w="1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56.9%</w:t>
            </w:r>
          </w:p>
        </w:tc>
      </w:tr>
    </w:tbl>
    <w:p>
      <w:pPr>
        <w:spacing w:after="100"/>
      </w:pPr>
    </w:p>
    <w:p>
      <w:pPr>
        <w:pStyle w:val="Heading2"/>
        <w:keepNext/>
        <w:spacing w:after="110" w:before="240"/>
      </w:pPr>
      <w:r>
        <w:rPr>
          <w:rFonts w:ascii="Calibri" w:cs="Calibri" w:eastAsia="Calibri" w:hAnsi="Calibri"/>
          <w:b/>
          <w:bCs/>
          <w:color w:val="2A7F86"/>
          <w:sz w:val="26"/>
          <w:szCs w:val="26"/>
        </w:rPr>
        <w:t xml:space="preserve">Budget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cantSplit/>
          <w:tblHeader/>
        </w:trPr>
        <w:tc>
          <w:tcPr>
            <w:tcW w:type="dxa" w:w="4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Measure</w:t>
            </w:r>
          </w:p>
        </w:tc>
        <w:tc>
          <w:tcPr>
            <w:tcW w:type="dxa" w:w="5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Value</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Not-to-exceed value</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$4,860,000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Actual cost to date</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$2,214,900 (45.6% of not-to-exceed)</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Forecast at completion</w:t>
            </w:r>
          </w:p>
        </w:tc>
        <w:tc>
          <w:tcPr>
            <w:tcW w:type="dxa" w:w="5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$4,860,000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bCs/>
                <w:sz w:val="20"/>
                <w:szCs w:val="20"/>
              </w:rPr>
              <w:t xml:space="preserve">Variance to not-to-exceed</w:t>
            </w:r>
          </w:p>
        </w:tc>
        <w:tc>
          <w:tcPr>
            <w:tcW w:type="dxa" w:w="5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val="false"/>
                <w:bCs w:val="false"/>
                <w:sz w:val="20"/>
                <w:szCs w:val="20"/>
              </w:rPr>
              <w:t xml:space="preserve">$0 (on budget)</w:t>
            </w:r>
          </w:p>
        </w:tc>
      </w:tr>
    </w:tbl>
    <w:p>
      <w:pPr>
        <w:spacing w:after="100"/>
      </w:pPr>
    </w:p>
    <w:p>
      <w:pPr>
        <w:pStyle w:val="Heading2"/>
        <w:keepNext/>
        <w:spacing w:after="110" w:before="240"/>
      </w:pPr>
      <w:r>
        <w:rPr>
          <w:rFonts w:ascii="Calibri" w:cs="Calibri" w:eastAsia="Calibri" w:hAnsi="Calibri"/>
          <w:b/>
          <w:bCs/>
          <w:color w:val="2A7F86"/>
          <w:sz w:val="26"/>
          <w:szCs w:val="26"/>
        </w:rPr>
        <w:t xml:space="preserve">Technical approach evaluation</w:t>
      </w:r>
    </w:p>
    <w:p>
      <w:pPr>
        <w:pStyle w:val="ListParagraph"/>
        <w:numPr>
          <w:ilvl w:val="0"/>
          <w:numId w:val="2"/>
        </w:numPr>
        <w:spacing w:after="70" w:line="280"/>
      </w:pPr>
      <w:r>
        <w:rPr>
          <w:rFonts w:ascii="Calibri" w:cs="Calibri" w:eastAsia="Calibri" w:hAnsi="Calibri"/>
          <w:sz w:val="22"/>
          <w:szCs w:val="22"/>
        </w:rPr>
        <w:t xml:space="preserve">Submissions received and logged from Northlight Systems, Bracken Ridge Engineering, Sable Marine Analytics, and Verdant Quay Partners (MS-04 met).</w:t>
      </w:r>
    </w:p>
    <w:p>
      <w:pPr>
        <w:pStyle w:val="ListParagraph"/>
        <w:numPr>
          <w:ilvl w:val="0"/>
          <w:numId w:val="2"/>
        </w:numPr>
        <w:spacing w:after="70" w:line="280"/>
      </w:pPr>
      <w:r>
        <w:rPr>
          <w:rFonts w:ascii="Calibri" w:cs="Calibri" w:eastAsia="Calibri" w:hAnsi="Calibri"/>
          <w:sz w:val="22"/>
          <w:szCs w:val="22"/>
        </w:rPr>
        <w:t xml:space="preserve">Tomasz completed the completeness check on Friday afternoon. All four include the required sections.</w:t>
      </w:r>
    </w:p>
    <w:p>
      <w:pPr>
        <w:pStyle w:val="ListParagraph"/>
        <w:numPr>
          <w:ilvl w:val="0"/>
          <w:numId w:val="2"/>
        </w:numPr>
        <w:spacing w:after="70" w:line="280"/>
      </w:pPr>
      <w:r>
        <w:rPr>
          <w:rFonts w:ascii="Calibri" w:cs="Calibri" w:eastAsia="Calibri" w:hAnsi="Calibri"/>
          <w:sz w:val="22"/>
          <w:szCs w:val="22"/>
        </w:rPr>
        <w:t xml:space="preserve">Panel calibration session is set for Thursday, September 10. Individual scoring opens September 14.</w:t>
      </w:r>
    </w:p>
    <w:p>
      <w:pPr>
        <w:pStyle w:val="Heading2"/>
        <w:keepNext/>
        <w:spacing w:after="110" w:before="240"/>
      </w:pPr>
      <w:r>
        <w:rPr>
          <w:rFonts w:ascii="Calibri" w:cs="Calibri" w:eastAsia="Calibri" w:hAnsi="Calibri"/>
          <w:b/>
          <w:bCs/>
          <w:color w:val="2A7F86"/>
          <w:sz w:val="26"/>
          <w:szCs w:val="26"/>
        </w:rPr>
        <w:t xml:space="preserve">Client touchpoint</w:t>
      </w:r>
    </w:p>
    <w:p>
      <w:pPr>
        <w:pStyle w:val="ListParagraph"/>
        <w:numPr>
          <w:ilvl w:val="0"/>
          <w:numId w:val="2"/>
        </w:numPr>
        <w:spacing w:after="70" w:line="280"/>
      </w:pPr>
      <w:r>
        <w:rPr>
          <w:rFonts w:ascii="Calibri" w:cs="Calibri" w:eastAsia="Calibri" w:hAnsi="Calibri"/>
          <w:sz w:val="22"/>
          <w:szCs w:val="22"/>
        </w:rPr>
        <w:t xml:space="preserve">Thursday call with Priya Ramaswamy-Bell. She asked that the weekly email lead with any decisions needed from CBPA, because that is the first thing the Chief Engineer looks for.</w:t>
      </w:r>
    </w:p>
    <w:p>
      <w:pPr>
        <w:pStyle w:val="ListParagraph"/>
        <w:numPr>
          <w:ilvl w:val="0"/>
          <w:numId w:val="2"/>
        </w:numPr>
        <w:spacing w:after="70" w:line="280"/>
      </w:pPr>
      <w:r>
        <w:rPr>
          <w:rFonts w:ascii="Calibri" w:cs="Calibri" w:eastAsia="Calibri" w:hAnsi="Calibri"/>
          <w:sz w:val="22"/>
          <w:szCs w:val="22"/>
        </w:rPr>
        <w:t xml:space="preserve">Priya confirmed the monthly program review for October 8 and noted she pre-briefs two Commissioners that same morning.</w:t>
      </w:r>
    </w:p>
    <w:p>
      <w:pPr>
        <w:pStyle w:val="Heading2"/>
        <w:keepNext/>
        <w:spacing w:after="110" w:before="240"/>
      </w:pPr>
      <w:r>
        <w:rPr>
          <w:rFonts w:ascii="Calibri" w:cs="Calibri" w:eastAsia="Calibri" w:hAnsi="Calibri"/>
          <w:b/>
          <w:bCs/>
          <w:color w:val="2A7F86"/>
          <w:sz w:val="26"/>
          <w:szCs w:val="26"/>
        </w:rPr>
        <w:t xml:space="preserve">Decisions made this week</w:t>
      </w:r>
    </w:p>
    <w:p>
      <w:pPr>
        <w:pStyle w:val="ListParagraph"/>
        <w:numPr>
          <w:ilvl w:val="0"/>
          <w:numId w:val="2"/>
        </w:numPr>
        <w:spacing w:after="70" w:line="280"/>
      </w:pPr>
      <w:r>
        <w:rPr>
          <w:rFonts w:ascii="Calibri" w:cs="Calibri" w:eastAsia="Calibri" w:hAnsi="Calibri"/>
          <w:sz w:val="22"/>
          <w:szCs w:val="22"/>
        </w:rPr>
        <w:t xml:space="preserve">The evaluation panel will use one shared scoring workbook. Tomasz owns it.</w:t>
      </w:r>
    </w:p>
    <w:p>
      <w:pPr>
        <w:pStyle w:val="ListParagraph"/>
        <w:numPr>
          <w:ilvl w:val="0"/>
          <w:numId w:val="2"/>
        </w:numPr>
        <w:spacing w:after="70" w:line="280"/>
      </w:pPr>
      <w:r>
        <w:rPr>
          <w:rFonts w:ascii="Calibri" w:cs="Calibri" w:eastAsia="Calibri" w:hAnsi="Calibri"/>
          <w:sz w:val="22"/>
          <w:szCs w:val="22"/>
        </w:rPr>
        <w:t xml:space="preserve">Devin chairs the technical sub-panel for the Technical Merit criterion.</w:t>
      </w:r>
    </w:p>
    <w:p>
      <w:pPr>
        <w:pStyle w:val="Heading2"/>
        <w:keepNext/>
        <w:spacing w:after="110" w:before="240"/>
      </w:pPr>
      <w:r>
        <w:rPr>
          <w:rFonts w:ascii="Calibri" w:cs="Calibri" w:eastAsia="Calibri" w:hAnsi="Calibri"/>
          <w:b/>
          <w:bCs/>
          <w:color w:val="2A7F86"/>
          <w:sz w:val="26"/>
          <w:szCs w:val="26"/>
        </w:rPr>
        <w:t xml:space="preserve">Risks and issues</w:t>
      </w:r>
    </w:p>
    <w:p>
      <w:pPr>
        <w:pStyle w:val="ListParagraph"/>
        <w:numPr>
          <w:ilvl w:val="0"/>
          <w:numId w:val="2"/>
        </w:numPr>
        <w:spacing w:after="70" w:line="280"/>
      </w:pPr>
      <w:r>
        <w:rPr>
          <w:rFonts w:ascii="Calibri" w:cs="Calibri" w:eastAsia="Calibri" w:hAnsi="Calibri"/>
          <w:sz w:val="22"/>
          <w:szCs w:val="22"/>
        </w:rPr>
        <w:t xml:space="preserve">Level I dives at Pier 7 are showing more section loss on the steel H-piles in bents 14 to 22 than the 2011 records suggested. If that pattern holds, requirement M-09 forces a larger Level II sample. Watching closely. Risk R-007 raised from 9 to 12.</w:t>
      </w:r>
    </w:p>
    <w:p>
      <w:pPr>
        <w:pStyle w:val="ListParagraph"/>
        <w:numPr>
          <w:ilvl w:val="0"/>
          <w:numId w:val="2"/>
        </w:numPr>
        <w:spacing w:after="70" w:line="280"/>
      </w:pPr>
      <w:r>
        <w:rPr>
          <w:rFonts w:ascii="Calibri" w:cs="Calibri" w:eastAsia="Calibri" w:hAnsi="Calibri"/>
          <w:sz w:val="22"/>
          <w:szCs w:val="22"/>
        </w:rPr>
        <w:t xml:space="preserve">No weather concerns this week.</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Release data room access logs to the panel</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8</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Confirm Tuesday reefer stack window with Harbor Operations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7</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Send Phase 1 closeout note to CBPA</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9</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Reconcile 61 duplicate asset IDs found in the Rail Yard records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September 11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3A3A" w:sz="24"/>
              <w:bottom w:val="none" w:color="FFFFFF" w:sz="0"/>
              <w:right w:val="none" w:color="FFFFFF" w:sz="0"/>
            </w:tcBorders>
            <w:shd w:fill="FBEDED"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Internal only</w:t>
            </w:r>
          </w:p>
          <w:p>
            <w:pPr>
              <w:spacing w:after="60" w:line="270"/>
            </w:pPr>
            <w:r>
              <w:rPr>
                <w:rFonts w:ascii="Calibri" w:cs="Calibri" w:eastAsia="Calibri" w:hAnsi="Calibri"/>
                <w:sz w:val="21"/>
                <w:szCs w:val="21"/>
              </w:rPr>
              <w:t xml:space="preserve">Northlight's submission arrived six minutes before the deadline. Tomasz has confirmed the timestamp is compliant. No action, but keep the record.</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pPr>
    <w:r>
      <w:rPr>
        <w:rFonts w:ascii="Calibri" w:cs="Calibri" w:eastAsia="Calibri" w:hAnsi="Calibri"/>
        <w:color w:val="5A6470"/>
        <w:sz w:val="16"/>
        <w:szCs w:val="16"/>
      </w:rPr>
      <w:t xml:space="preserve">Synthetic training material. All organizations, people, and data are fictional.</w:t>
    </w:r>
    <w:r>
      <w:rPr>
        <w:rFonts w:ascii="Calibri" w:cs="Calibri" w:eastAsia="Calibri" w:hAnsi="Calibri"/>
        <w:color w:val="5A64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E" w:sz="4" w:space="4"/>
      </w:pBdr>
      <w:spacing w:after="0"/>
    </w:pPr>
    <w:r>
      <w:rPr>
        <w:rFonts w:ascii="Calibri" w:cs="Calibri" w:eastAsia="Calibri" w:hAnsi="Calibri"/>
        <w:color w:val="5A6470"/>
        <w:sz w:val="17"/>
        <w:szCs w:val="17"/>
      </w:rPr>
      <w:t xml:space="preserve">Harbor Point Resilience Assessment  |  Weekly Status Notes  |  September 2026  |  Internal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Point Resilience Assessment  |  Weekly Status Notes  |  September 2026  |  Internal working document</dc:title>
  <dc:creator>Marrowstone Advisory Group (fictional)</dc:creator>
  <cp:lastModifiedBy>Un-named</cp:lastModifiedBy>
  <cp:revision>1</cp:revision>
  <dcterms:created xsi:type="dcterms:W3CDTF">2026-10-01T12:28:50.517Z</dcterms:created>
  <dcterms:modified xsi:type="dcterms:W3CDTF">2026-10-01T12:28:50.517Z</dcterms:modified>
</cp:coreProperties>
</file>

<file path=docProps/custom.xml><?xml version="1.0" encoding="utf-8"?>
<Properties xmlns="http://schemas.openxmlformats.org/officeDocument/2006/custom-properties" xmlns:vt="http://schemas.openxmlformats.org/officeDocument/2006/docPropsVTypes"/>
</file>