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Omega (2026) – Fictional Migration Timeline</w:t>
      </w:r>
    </w:p>
    <w:p>
      <w:pPr>
        <w:jc w:val="center"/>
      </w:pPr>
      <w:r>
        <w:rPr>
          <w:i/>
          <w:sz w:val="22"/>
        </w:rPr>
        <w:t>On-Prem to Azure Migration of 188 Applications • Generated January 21, 2026</w:t>
      </w:r>
    </w:p>
    <w:p/>
    <w:p>
      <w:r>
        <w:rPr>
          <w:b/>
          <w:sz w:val="28"/>
        </w:rPr>
        <w:t>Project Summary</w:t>
      </w:r>
    </w:p>
    <w:p>
      <w:r>
        <w:t>Project Omega is a fictional 2026 modernization initiative designed for training demos. The goal is to migrate 188 on‑premises applications to Microsoft Azure using a phased approach that includes discovery, planning, execution, testing, governance, and closeout.</w:t>
      </w:r>
    </w:p>
    <w:p>
      <w:r>
        <w:rPr>
          <w:b/>
          <w:sz w:val="28"/>
        </w:rPr>
        <w:t>Scope &amp; Assumptions (Fictional)</w:t>
      </w:r>
    </w:p>
    <w:p>
      <w:pPr>
        <w:pStyle w:val="ListBullet"/>
      </w:pPr>
      <w:r>
        <w:t>Total applications: 188 (mix of web apps, APIs, batch jobs, and vendor-packaged solutions)</w:t>
      </w:r>
    </w:p>
    <w:p>
      <w:pPr>
        <w:pStyle w:val="ListBullet"/>
      </w:pPr>
      <w:r>
        <w:t>Migration approach: Wave-based (6 waves), using Rehost/Refactor/Retire/Replace strategies</w:t>
      </w:r>
    </w:p>
    <w:p>
      <w:pPr>
        <w:pStyle w:val="ListBullet"/>
      </w:pPr>
      <w:r>
        <w:t>Target cloud platform: Microsoft Azure (landing zone + shared services)</w:t>
      </w:r>
    </w:p>
    <w:p>
      <w:pPr>
        <w:pStyle w:val="ListBullet"/>
      </w:pPr>
      <w:r>
        <w:t>Applications will be prioritized by business criticality and technical complexity</w:t>
      </w:r>
    </w:p>
    <w:p>
      <w:pPr>
        <w:pStyle w:val="ListBullet"/>
      </w:pPr>
      <w:r>
        <w:t>Parallel workstreams: platform foundation, security/governance, migration factory, QA/testing, and change management</w:t>
      </w:r>
    </w:p>
    <w:p>
      <w:r>
        <w:rPr>
          <w:b/>
          <w:sz w:val="28"/>
        </w:rPr>
        <w:t>High-Level Timeline (2026)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Month(s)</w:t>
            </w:r>
          </w:p>
        </w:tc>
        <w:tc>
          <w:tcPr>
            <w:tcW w:type="dxa" w:w="2880"/>
          </w:tcPr>
          <w:p>
            <w:r>
              <w:t>Primary Outcomes</w:t>
            </w:r>
          </w:p>
        </w:tc>
      </w:tr>
      <w:tr>
        <w:tc>
          <w:tcPr>
            <w:tcW w:type="dxa" w:w="2880"/>
          </w:tcPr>
          <w:p>
            <w:r>
              <w:t>1. Initiation &amp; Governance Setup</w:t>
            </w:r>
          </w:p>
        </w:tc>
        <w:tc>
          <w:tcPr>
            <w:tcW w:type="dxa" w:w="2880"/>
          </w:tcPr>
          <w:p>
            <w:r>
              <w:t>Jan</w:t>
            </w:r>
          </w:p>
        </w:tc>
        <w:tc>
          <w:tcPr>
            <w:tcW w:type="dxa" w:w="2880"/>
          </w:tcPr>
          <w:p>
            <w:r>
              <w:t>Project kickoff, leadership alignment, governance and reporting established</w:t>
            </w:r>
          </w:p>
        </w:tc>
      </w:tr>
      <w:tr>
        <w:tc>
          <w:tcPr>
            <w:tcW w:type="dxa" w:w="2880"/>
          </w:tcPr>
          <w:p>
            <w:r>
              <w:t>2. Discovery &amp; Assessment</w:t>
            </w:r>
          </w:p>
        </w:tc>
        <w:tc>
          <w:tcPr>
            <w:tcW w:type="dxa" w:w="2880"/>
          </w:tcPr>
          <w:p>
            <w:r>
              <w:t>Jan–Feb</w:t>
            </w:r>
          </w:p>
        </w:tc>
        <w:tc>
          <w:tcPr>
            <w:tcW w:type="dxa" w:w="2880"/>
          </w:tcPr>
          <w:p>
            <w:r>
              <w:t>App inventory validated, dependency mapping, migration strategy per app</w:t>
            </w:r>
          </w:p>
        </w:tc>
      </w:tr>
      <w:tr>
        <w:tc>
          <w:tcPr>
            <w:tcW w:type="dxa" w:w="2880"/>
          </w:tcPr>
          <w:p>
            <w:r>
              <w:t>3. Azure Foundation (Landing Zone)</w:t>
            </w:r>
          </w:p>
        </w:tc>
        <w:tc>
          <w:tcPr>
            <w:tcW w:type="dxa" w:w="2880"/>
          </w:tcPr>
          <w:p>
            <w:r>
              <w:t>Feb–Mar</w:t>
            </w:r>
          </w:p>
        </w:tc>
        <w:tc>
          <w:tcPr>
            <w:tcW w:type="dxa" w:w="2880"/>
          </w:tcPr>
          <w:p>
            <w:r>
              <w:t>Networking, identity, security baseline, logging/monitoring</w:t>
            </w:r>
          </w:p>
        </w:tc>
      </w:tr>
      <w:tr>
        <w:tc>
          <w:tcPr>
            <w:tcW w:type="dxa" w:w="2880"/>
          </w:tcPr>
          <w:p>
            <w:r>
              <w:t>4. Detailed Planning &amp; Wave Design</w:t>
            </w:r>
          </w:p>
        </w:tc>
        <w:tc>
          <w:tcPr>
            <w:tcW w:type="dxa" w:w="2880"/>
          </w:tcPr>
          <w:p>
            <w:r>
              <w:t>Mar</w:t>
            </w:r>
          </w:p>
        </w:tc>
        <w:tc>
          <w:tcPr>
            <w:tcW w:type="dxa" w:w="2880"/>
          </w:tcPr>
          <w:p>
            <w:r>
              <w:t>Wave plan, runbooks, cutover patterns, test strategy</w:t>
            </w:r>
          </w:p>
        </w:tc>
      </w:tr>
      <w:tr>
        <w:tc>
          <w:tcPr>
            <w:tcW w:type="dxa" w:w="2880"/>
          </w:tcPr>
          <w:p>
            <w:r>
              <w:t>5. Migration Execution (Waves 1–6)</w:t>
            </w:r>
          </w:p>
        </w:tc>
        <w:tc>
          <w:tcPr>
            <w:tcW w:type="dxa" w:w="2880"/>
          </w:tcPr>
          <w:p>
            <w:r>
              <w:t>Apr–Oct</w:t>
            </w:r>
          </w:p>
        </w:tc>
        <w:tc>
          <w:tcPr>
            <w:tcW w:type="dxa" w:w="2880"/>
          </w:tcPr>
          <w:p>
            <w:r>
              <w:t>Apps migrated in controlled waves with continuous improvements</w:t>
            </w:r>
          </w:p>
        </w:tc>
      </w:tr>
      <w:tr>
        <w:tc>
          <w:tcPr>
            <w:tcW w:type="dxa" w:w="2880"/>
          </w:tcPr>
          <w:p>
            <w:r>
              <w:t>6. Testing, Stabilization &amp; Hardening</w:t>
            </w:r>
          </w:p>
        </w:tc>
        <w:tc>
          <w:tcPr>
            <w:tcW w:type="dxa" w:w="2880"/>
          </w:tcPr>
          <w:p>
            <w:r>
              <w:t>May–Nov</w:t>
            </w:r>
          </w:p>
        </w:tc>
        <w:tc>
          <w:tcPr>
            <w:tcW w:type="dxa" w:w="2880"/>
          </w:tcPr>
          <w:p>
            <w:r>
              <w:t>Performance tuning, resiliency, security validation, UAT support</w:t>
            </w:r>
          </w:p>
        </w:tc>
      </w:tr>
      <w:tr>
        <w:tc>
          <w:tcPr>
            <w:tcW w:type="dxa" w:w="2880"/>
          </w:tcPr>
          <w:p>
            <w:r>
              <w:t>7. Decommissioning &amp; Optimization</w:t>
            </w:r>
          </w:p>
        </w:tc>
        <w:tc>
          <w:tcPr>
            <w:tcW w:type="dxa" w:w="2880"/>
          </w:tcPr>
          <w:p>
            <w:r>
              <w:t>Sep–Nov</w:t>
            </w:r>
          </w:p>
        </w:tc>
        <w:tc>
          <w:tcPr>
            <w:tcW w:type="dxa" w:w="2880"/>
          </w:tcPr>
          <w:p>
            <w:r>
              <w:t>Legacy shutdowns, cost optimization, documentation finalization</w:t>
            </w:r>
          </w:p>
        </w:tc>
      </w:tr>
      <w:tr>
        <w:tc>
          <w:tcPr>
            <w:tcW w:type="dxa" w:w="2880"/>
          </w:tcPr>
          <w:p>
            <w:r>
              <w:t>8. Closeout &amp; Transition to Operations</w:t>
            </w:r>
          </w:p>
        </w:tc>
        <w:tc>
          <w:tcPr>
            <w:tcW w:type="dxa" w:w="2880"/>
          </w:tcPr>
          <w:p>
            <w:r>
              <w:t>Dec</w:t>
            </w:r>
          </w:p>
        </w:tc>
        <w:tc>
          <w:tcPr>
            <w:tcW w:type="dxa" w:w="2880"/>
          </w:tcPr>
          <w:p>
            <w:r>
              <w:t>Final reporting, lessons learned, handoff to support teams</w:t>
            </w:r>
          </w:p>
        </w:tc>
      </w:tr>
    </w:tbl>
    <w:p>
      <w:r>
        <w:rPr>
          <w:b/>
          <w:sz w:val="28"/>
        </w:rPr>
        <w:t>Wave Plan (Fictional)</w:t>
      </w:r>
    </w:p>
    <w:p>
      <w:r>
        <w:t>Applications are migrated in 6 execution waves. Wave capacity increases as the migration factory matures.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Wave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Target App Count</w:t>
            </w:r>
          </w:p>
        </w:tc>
        <w:tc>
          <w:tcPr>
            <w:tcW w:type="dxa" w:w="1728"/>
          </w:tcPr>
          <w:p>
            <w:r>
              <w:t>Typical Complexity Profile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Wave 1</w:t>
            </w:r>
          </w:p>
        </w:tc>
        <w:tc>
          <w:tcPr>
            <w:tcW w:type="dxa" w:w="1728"/>
          </w:tcPr>
          <w:p>
            <w:r>
              <w:t>Apr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Pilot wave; focus on repeatable runbooks and patterns</w:t>
            </w:r>
          </w:p>
        </w:tc>
      </w:tr>
      <w:tr>
        <w:tc>
          <w:tcPr>
            <w:tcW w:type="dxa" w:w="1728"/>
          </w:tcPr>
          <w:p>
            <w:r>
              <w:t>Wave 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Low–Medium</w:t>
            </w:r>
          </w:p>
        </w:tc>
        <w:tc>
          <w:tcPr>
            <w:tcW w:type="dxa" w:w="1728"/>
          </w:tcPr>
          <w:p>
            <w:r>
              <w:t>Scaled execution; introduce CI/CD and infra templates</w:t>
            </w:r>
          </w:p>
        </w:tc>
      </w:tr>
      <w:tr>
        <w:tc>
          <w:tcPr>
            <w:tcW w:type="dxa" w:w="1728"/>
          </w:tcPr>
          <w:p>
            <w:r>
              <w:t>Wave 3</w:t>
            </w:r>
          </w:p>
        </w:tc>
        <w:tc>
          <w:tcPr>
            <w:tcW w:type="dxa" w:w="1728"/>
          </w:tcPr>
          <w:p>
            <w:r>
              <w:t>Jun–Jul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Increase throughput; more data/service dependencies</w:t>
            </w:r>
          </w:p>
        </w:tc>
      </w:tr>
      <w:tr>
        <w:tc>
          <w:tcPr>
            <w:tcW w:type="dxa" w:w="1728"/>
          </w:tcPr>
          <w:p>
            <w:r>
              <w:t>Wave 4</w:t>
            </w:r>
          </w:p>
        </w:tc>
        <w:tc>
          <w:tcPr>
            <w:tcW w:type="dxa" w:w="1728"/>
          </w:tcPr>
          <w:p>
            <w:r>
              <w:t>Aug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Parallel cutovers; expanded UAT coordination</w:t>
            </w:r>
          </w:p>
        </w:tc>
      </w:tr>
      <w:tr>
        <w:tc>
          <w:tcPr>
            <w:tcW w:type="dxa" w:w="1728"/>
          </w:tcPr>
          <w:p>
            <w:r>
              <w:t>Wave 5</w:t>
            </w:r>
          </w:p>
        </w:tc>
        <w:tc>
          <w:tcPr>
            <w:tcW w:type="dxa" w:w="1728"/>
          </w:tcPr>
          <w:p>
            <w:r>
              <w:t>Sep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Medium–High</w:t>
            </w:r>
          </w:p>
        </w:tc>
        <w:tc>
          <w:tcPr>
            <w:tcW w:type="dxa" w:w="1728"/>
          </w:tcPr>
          <w:p>
            <w:r>
              <w:t>Harder workloads; special change windows</w:t>
            </w:r>
          </w:p>
        </w:tc>
      </w:tr>
      <w:tr>
        <w:tc>
          <w:tcPr>
            <w:tcW w:type="dxa" w:w="1728"/>
          </w:tcPr>
          <w:p>
            <w:r>
              <w:t>Wave 6</w:t>
            </w:r>
          </w:p>
        </w:tc>
        <w:tc>
          <w:tcPr>
            <w:tcW w:type="dxa" w:w="1728"/>
          </w:tcPr>
          <w:p>
            <w:r>
              <w:t>Oct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Business-critical systems; extended stabilization</w:t>
            </w:r>
          </w:p>
        </w:tc>
      </w:tr>
    </w:tbl>
    <w:p>
      <w:r>
        <w:rPr>
          <w:b/>
          <w:sz w:val="28"/>
        </w:rPr>
        <w:t>Key Workstreams &amp; Activities by Phase</w:t>
      </w:r>
    </w:p>
    <w:p>
      <w:r>
        <w:rPr>
          <w:b/>
          <w:sz w:val="28"/>
        </w:rPr>
        <w:t>1) Planning &amp; Readiness (Jan–Mar)</w:t>
      </w:r>
    </w:p>
    <w:p>
      <w:pPr>
        <w:pStyle w:val="ListBullet"/>
      </w:pPr>
      <w:r>
        <w:t>Executive sponsor alignment and program charter</w:t>
      </w:r>
    </w:p>
    <w:p>
      <w:pPr>
        <w:pStyle w:val="ListBullet"/>
      </w:pPr>
      <w:r>
        <w:t>Project governance: steering committee, change control, architecture review board (ARB)</w:t>
      </w:r>
    </w:p>
    <w:p>
      <w:pPr>
        <w:pStyle w:val="ListBullet"/>
      </w:pPr>
      <w:r>
        <w:t>Application inventory validation, dependency discovery, and environment mapping</w:t>
      </w:r>
    </w:p>
    <w:p>
      <w:pPr>
        <w:pStyle w:val="ListBullet"/>
      </w:pPr>
      <w:r>
        <w:t>Azure landing zone buildout (subscription strategy, networking, identity, policy)</w:t>
      </w:r>
    </w:p>
    <w:p>
      <w:pPr>
        <w:pStyle w:val="ListBullet"/>
      </w:pPr>
      <w:r>
        <w:t>Migration patterns and templates (IaC, pipelines, monitoring, tagging standards)</w:t>
      </w:r>
    </w:p>
    <w:p>
      <w:pPr>
        <w:pStyle w:val="ListBullet"/>
      </w:pPr>
      <w:r>
        <w:t>Security baselines: RBAC model, key vault standards, logging/alerting, vulnerability scanning approach</w:t>
      </w:r>
    </w:p>
    <w:p>
      <w:pPr>
        <w:pStyle w:val="ListBullet"/>
      </w:pPr>
      <w:r>
        <w:t>Test strategy: unit/regression/UAT performance and rollback criteria</w:t>
      </w:r>
    </w:p>
    <w:p>
      <w:r>
        <w:rPr>
          <w:b/>
          <w:sz w:val="28"/>
        </w:rPr>
        <w:t>2) Execution (Apr–Oct)</w:t>
      </w:r>
    </w:p>
    <w:p>
      <w:pPr>
        <w:pStyle w:val="ListBullet"/>
      </w:pPr>
      <w:r>
        <w:t>Migration factory operations (repeatable intake → build → migrate → validate workflow)</w:t>
      </w:r>
    </w:p>
    <w:p>
      <w:pPr>
        <w:pStyle w:val="ListBullet"/>
      </w:pPr>
      <w:r>
        <w:t>Wave-based cutovers with defined “go/no-go” checkpoints</w:t>
      </w:r>
    </w:p>
    <w:p>
      <w:pPr>
        <w:pStyle w:val="ListBullet"/>
      </w:pPr>
      <w:r>
        <w:t>Data migration events aligned with cutover windows (where applicable)</w:t>
      </w:r>
    </w:p>
    <w:p>
      <w:pPr>
        <w:pStyle w:val="ListBullet"/>
      </w:pPr>
      <w:r>
        <w:t>Continuous improvement (runbooks, automation, velocity tuning)</w:t>
      </w:r>
    </w:p>
    <w:p>
      <w:pPr>
        <w:pStyle w:val="ListBullet"/>
      </w:pPr>
      <w:r>
        <w:t>Weekly leadership reporting and risk management</w:t>
      </w:r>
    </w:p>
    <w:p>
      <w:r>
        <w:rPr>
          <w:b/>
          <w:sz w:val="28"/>
        </w:rPr>
        <w:t>3) Testing &amp; Stabilization (May–Nov)</w:t>
      </w:r>
    </w:p>
    <w:p>
      <w:pPr>
        <w:pStyle w:val="ListBullet"/>
      </w:pPr>
      <w:r>
        <w:t>Functional validation and smoke testing after each migration</w:t>
      </w:r>
    </w:p>
    <w:p>
      <w:pPr>
        <w:pStyle w:val="ListBullet"/>
      </w:pPr>
      <w:r>
        <w:t>Performance testing for targeted apps (especially Waves 5–6)</w:t>
      </w:r>
    </w:p>
    <w:p>
      <w:pPr>
        <w:pStyle w:val="ListBullet"/>
      </w:pPr>
      <w:r>
        <w:t>Security validation (pen tests, configuration checks, policy compliance)</w:t>
      </w:r>
    </w:p>
    <w:p>
      <w:pPr>
        <w:pStyle w:val="ListBullet"/>
      </w:pPr>
      <w:r>
        <w:t>UAT coordination with business owners and service desk readiness</w:t>
      </w:r>
    </w:p>
    <w:p>
      <w:pPr>
        <w:pStyle w:val="ListBullet"/>
      </w:pPr>
      <w:r>
        <w:t>Stabilization period after each wave (bug fixes, tuning, monitoring improvements)</w:t>
      </w:r>
    </w:p>
    <w:p>
      <w:r>
        <w:rPr>
          <w:b/>
          <w:sz w:val="28"/>
        </w:rPr>
        <w:t>4) Governance &amp; Compliance (Jan–Dec, ongoing)</w:t>
      </w:r>
    </w:p>
    <w:p>
      <w:pPr>
        <w:pStyle w:val="ListBullet"/>
      </w:pPr>
      <w:r>
        <w:t>Architecture and security reviews for new patterns and major refactors</w:t>
      </w:r>
    </w:p>
    <w:p>
      <w:pPr>
        <w:pStyle w:val="ListBullet"/>
      </w:pPr>
      <w:r>
        <w:t>Policy enforcement (resource tagging, network rules, approved services)</w:t>
      </w:r>
    </w:p>
    <w:p>
      <w:pPr>
        <w:pStyle w:val="ListBullet"/>
      </w:pPr>
      <w:r>
        <w:t>Cost governance: FinOps reporting and budget guardrails</w:t>
      </w:r>
    </w:p>
    <w:p>
      <w:pPr>
        <w:pStyle w:val="ListBullet"/>
      </w:pPr>
      <w:r>
        <w:t>Release/change management aligned to corporate CAB processes</w:t>
      </w:r>
    </w:p>
    <w:p>
      <w:pPr>
        <w:pStyle w:val="ListBullet"/>
      </w:pPr>
      <w:r>
        <w:t>Monthly steering committee readout and KPI tracking</w:t>
      </w:r>
    </w:p>
    <w:p>
      <w:r>
        <w:rPr>
          <w:b/>
          <w:sz w:val="28"/>
        </w:rPr>
        <w:t>5) Closeout (Dec)</w:t>
      </w:r>
    </w:p>
    <w:p>
      <w:pPr>
        <w:pStyle w:val="ListBullet"/>
      </w:pPr>
      <w:r>
        <w:t>Final migration validation and stabilization sign-off</w:t>
      </w:r>
    </w:p>
    <w:p>
      <w:pPr>
        <w:pStyle w:val="ListBullet"/>
      </w:pPr>
      <w:r>
        <w:t>Legacy decommission confirmation and asset inventory updates</w:t>
      </w:r>
    </w:p>
    <w:p>
      <w:pPr>
        <w:pStyle w:val="ListBullet"/>
      </w:pPr>
      <w:r>
        <w:t>Final documentation: runbooks, architecture diagrams, support SOPs</w:t>
      </w:r>
    </w:p>
    <w:p>
      <w:pPr>
        <w:pStyle w:val="ListBullet"/>
      </w:pPr>
      <w:r>
        <w:t>Lessons learned workshop and recommended roadmap for 2027 modernization</w:t>
      </w:r>
    </w:p>
    <w:p>
      <w:pPr>
        <w:pStyle w:val="ListBullet"/>
      </w:pPr>
      <w:r>
        <w:t>Transition to steady-state operations (SRE/Platform/Support)</w:t>
      </w:r>
    </w:p>
    <w:p>
      <w:r>
        <w:rPr>
          <w:b/>
          <w:sz w:val="28"/>
        </w:rPr>
        <w:t>Key Milestones (Fictional)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Definition of Done (DoD)</w:t>
            </w:r>
          </w:p>
        </w:tc>
      </w:tr>
      <w:tr>
        <w:tc>
          <w:tcPr>
            <w:tcW w:type="dxa" w:w="2880"/>
          </w:tcPr>
          <w:p>
            <w:r>
              <w:t>Project Kickoff Complete</w:t>
            </w:r>
          </w:p>
        </w:tc>
        <w:tc>
          <w:tcPr>
            <w:tcW w:type="dxa" w:w="2880"/>
          </w:tcPr>
          <w:p>
            <w:r>
              <w:t>Jan 15, 2026</w:t>
            </w:r>
          </w:p>
        </w:tc>
        <w:tc>
          <w:tcPr>
            <w:tcW w:type="dxa" w:w="2880"/>
          </w:tcPr>
          <w:p>
            <w:r>
              <w:t>Charter approved; roles assigned; governance cadence established</w:t>
            </w:r>
          </w:p>
        </w:tc>
      </w:tr>
      <w:tr>
        <w:tc>
          <w:tcPr>
            <w:tcW w:type="dxa" w:w="2880"/>
          </w:tcPr>
          <w:p>
            <w:r>
              <w:t>Discovery Complete</w:t>
            </w:r>
          </w:p>
        </w:tc>
        <w:tc>
          <w:tcPr>
            <w:tcW w:type="dxa" w:w="2880"/>
          </w:tcPr>
          <w:p>
            <w:r>
              <w:t>Feb 28, 2026</w:t>
            </w:r>
          </w:p>
        </w:tc>
        <w:tc>
          <w:tcPr>
            <w:tcW w:type="dxa" w:w="2880"/>
          </w:tcPr>
          <w:p>
            <w:r>
              <w:t>188 apps categorized; dependencies documented; migration strategy assigned</w:t>
            </w:r>
          </w:p>
        </w:tc>
      </w:tr>
      <w:tr>
        <w:tc>
          <w:tcPr>
            <w:tcW w:type="dxa" w:w="2880"/>
          </w:tcPr>
          <w:p>
            <w:r>
              <w:t>Landing Zone Ready</w:t>
            </w:r>
          </w:p>
        </w:tc>
        <w:tc>
          <w:tcPr>
            <w:tcW w:type="dxa" w:w="2880"/>
          </w:tcPr>
          <w:p>
            <w:r>
              <w:t>Mar 15, 2026</w:t>
            </w:r>
          </w:p>
        </w:tc>
        <w:tc>
          <w:tcPr>
            <w:tcW w:type="dxa" w:w="2880"/>
          </w:tcPr>
          <w:p>
            <w:r>
              <w:t>Networking, identity, policy, logging/monitoring operational</w:t>
            </w:r>
          </w:p>
        </w:tc>
      </w:tr>
      <w:tr>
        <w:tc>
          <w:tcPr>
            <w:tcW w:type="dxa" w:w="2880"/>
          </w:tcPr>
          <w:p>
            <w:r>
              <w:t>Wave 1 Complete</w:t>
            </w:r>
          </w:p>
        </w:tc>
        <w:tc>
          <w:tcPr>
            <w:tcW w:type="dxa" w:w="2880"/>
          </w:tcPr>
          <w:p>
            <w:r>
              <w:t>Apr 30, 2026</w:t>
            </w:r>
          </w:p>
        </w:tc>
        <w:tc>
          <w:tcPr>
            <w:tcW w:type="dxa" w:w="2880"/>
          </w:tcPr>
          <w:p>
            <w:r>
              <w:t>Pilot apps migrated; runbooks validated</w:t>
            </w:r>
          </w:p>
        </w:tc>
      </w:tr>
      <w:tr>
        <w:tc>
          <w:tcPr>
            <w:tcW w:type="dxa" w:w="2880"/>
          </w:tcPr>
          <w:p>
            <w:r>
              <w:t>Wave 3 Complete</w:t>
            </w:r>
          </w:p>
        </w:tc>
        <w:tc>
          <w:tcPr>
            <w:tcW w:type="dxa" w:w="2880"/>
          </w:tcPr>
          <w:p>
            <w:r>
              <w:t>Jul 31, 2026</w:t>
            </w:r>
          </w:p>
        </w:tc>
        <w:tc>
          <w:tcPr>
            <w:tcW w:type="dxa" w:w="2880"/>
          </w:tcPr>
          <w:p>
            <w:r>
              <w:t>Factory velocity stable; 80+ apps migrated</w:t>
            </w:r>
          </w:p>
        </w:tc>
      </w:tr>
      <w:tr>
        <w:tc>
          <w:tcPr>
            <w:tcW w:type="dxa" w:w="2880"/>
          </w:tcPr>
          <w:p>
            <w:r>
              <w:t>Wave 6 Complete</w:t>
            </w:r>
          </w:p>
        </w:tc>
        <w:tc>
          <w:tcPr>
            <w:tcW w:type="dxa" w:w="2880"/>
          </w:tcPr>
          <w:p>
            <w:r>
              <w:t>Oct 31, 2026</w:t>
            </w:r>
          </w:p>
        </w:tc>
        <w:tc>
          <w:tcPr>
            <w:tcW w:type="dxa" w:w="2880"/>
          </w:tcPr>
          <w:p>
            <w:r>
              <w:t>All 188 apps migrated; cutover success criteria met</w:t>
            </w:r>
          </w:p>
        </w:tc>
      </w:tr>
      <w:tr>
        <w:tc>
          <w:tcPr>
            <w:tcW w:type="dxa" w:w="2880"/>
          </w:tcPr>
          <w:p>
            <w:r>
              <w:t>Decommissioning Complete</w:t>
            </w:r>
          </w:p>
        </w:tc>
        <w:tc>
          <w:tcPr>
            <w:tcW w:type="dxa" w:w="2880"/>
          </w:tcPr>
          <w:p>
            <w:r>
              <w:t>Nov 30, 2026</w:t>
            </w:r>
          </w:p>
        </w:tc>
        <w:tc>
          <w:tcPr>
            <w:tcW w:type="dxa" w:w="2880"/>
          </w:tcPr>
          <w:p>
            <w:r>
              <w:t>Legacy environments shutdown/archived; CMDB updated</w:t>
            </w:r>
          </w:p>
        </w:tc>
      </w:tr>
      <w:tr>
        <w:tc>
          <w:tcPr>
            <w:tcW w:type="dxa" w:w="2880"/>
          </w:tcPr>
          <w:p>
            <w:r>
              <w:t>Project Closeout</w:t>
            </w:r>
          </w:p>
        </w:tc>
        <w:tc>
          <w:tcPr>
            <w:tcW w:type="dxa" w:w="2880"/>
          </w:tcPr>
          <w:p>
            <w:r>
              <w:t>Dec 15, 2026</w:t>
            </w:r>
          </w:p>
        </w:tc>
        <w:tc>
          <w:tcPr>
            <w:tcW w:type="dxa" w:w="2880"/>
          </w:tcPr>
          <w:p>
            <w:r>
              <w:t>Final report delivered; support handoff complete</w:t>
            </w:r>
          </w:p>
        </w:tc>
      </w:tr>
    </w:tbl>
    <w:p/>
    <w:p>
      <w:r>
        <w:rPr>
          <w:b/>
          <w:sz w:val="24"/>
        </w:rPr>
        <w:t>Disclaimer</w:t>
      </w:r>
    </w:p>
    <w:p>
      <w:r>
        <w:t>This document is fictional and provided for training/demo purposes only. It is not an official project plan, estimate, or statement of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