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b/>
          <w:bCs/>
          <w:color w:val="2A7F86"/>
          <w:spacing w:val="40"/>
          <w:sz w:val="24"/>
          <w:szCs w:val="24"/>
        </w:rPr>
        <w:t xml:space="preserve">HARBOR POINT RESILIENCE ASSESSMENT</w:t>
      </w:r>
    </w:p>
    <w:p>
      <w:pPr>
        <w:pBdr>
          <w:bottom w:val="single" w:color="1F3A5F" w:sz="12" w:space="8"/>
        </w:pBdr>
        <w:spacing w:after="200"/>
      </w:pPr>
      <w:r>
        <w:rPr>
          <w:b/>
          <w:bCs/>
          <w:color w:val="1F3A5F"/>
          <w:sz w:val="52"/>
          <w:szCs w:val="52"/>
        </w:rPr>
        <w:t xml:space="preserve">Program Collaboration and Data Handling Standard</w:t>
      </w:r>
    </w:p>
    <w:p>
      <w:pPr>
        <w:spacing w:after="600"/>
      </w:pPr>
      <w:r>
        <w:rPr>
          <w:color w:val="5A6470"/>
          <w:sz w:val="26"/>
          <w:szCs w:val="26"/>
        </w:rPr>
        <w:t xml:space="preserve">How the program team creates, stores, shares, protects, and retires program information</w:t>
      </w:r>
    </w:p>
    <w:p>
      <w:pPr>
        <w:tabs>
          <w:tab w:val="left" w:pos="2600"/>
        </w:tabs>
        <w:spacing w:after="100"/>
      </w:pPr>
      <w:r>
        <w:rPr>
          <w:b/>
          <w:bCs/>
          <w:color w:val="1F3A5F"/>
        </w:rPr>
        <w:t xml:space="preserve">Document ID</w:t>
      </w:r>
      <w:r>
        <w:t xml:space="preserve">	HP-PMO-STD-003</w:t>
      </w:r>
    </w:p>
    <w:p>
      <w:pPr>
        <w:tabs>
          <w:tab w:val="left" w:pos="2600"/>
        </w:tabs>
        <w:spacing w:after="100"/>
      </w:pPr>
      <w:r>
        <w:rPr>
          <w:b/>
          <w:bCs/>
          <w:color w:val="1F3A5F"/>
        </w:rPr>
        <w:t xml:space="preserve">Version</w:t>
      </w:r>
      <w:r>
        <w:t xml:space="preserve">	1.0</w:t>
      </w:r>
    </w:p>
    <w:p>
      <w:pPr>
        <w:tabs>
          <w:tab w:val="left" w:pos="2600"/>
        </w:tabs>
        <w:spacing w:after="100"/>
      </w:pPr>
      <w:r>
        <w:rPr>
          <w:b/>
          <w:bCs/>
          <w:color w:val="1F3A5F"/>
        </w:rPr>
        <w:t xml:space="preserve">Effective date</w:t>
      </w:r>
      <w:r>
        <w:t xml:space="preserve">	August 14, 2026</w:t>
      </w:r>
    </w:p>
    <w:p>
      <w:pPr>
        <w:tabs>
          <w:tab w:val="left" w:pos="2600"/>
        </w:tabs>
        <w:spacing w:after="100"/>
      </w:pPr>
      <w:r>
        <w:rPr>
          <w:b/>
          <w:bCs/>
          <w:color w:val="1F3A5F"/>
        </w:rPr>
        <w:t xml:space="preserve">Document owner</w:t>
      </w:r>
      <w:r>
        <w:t xml:space="preserve">	Tomasz Grelling, Contracts and Compliance Lead</w:t>
      </w:r>
    </w:p>
    <w:p>
      <w:pPr>
        <w:tabs>
          <w:tab w:val="left" w:pos="2600"/>
        </w:tabs>
        <w:spacing w:after="100"/>
      </w:pPr>
      <w:r>
        <w:rPr>
          <w:b/>
          <w:bCs/>
          <w:color w:val="1F3A5F"/>
        </w:rPr>
        <w:t xml:space="preserve">Approved by</w:t>
      </w:r>
      <w:r>
        <w:t xml:space="preserve">	Marisol Vantrease, Program Manager</w:t>
      </w:r>
    </w:p>
    <w:p>
      <w:pPr>
        <w:tabs>
          <w:tab w:val="left" w:pos="2600"/>
        </w:tabs>
        <w:spacing w:after="100"/>
      </w:pPr>
      <w:r>
        <w:rPr>
          <w:b/>
          <w:bCs/>
          <w:color w:val="1F3A5F"/>
        </w:rPr>
        <w:t xml:space="preserve">Applies to</w:t>
      </w:r>
      <w:r>
        <w:t xml:space="preserve">	All program staff, subcontractor staff, and guest users</w:t>
      </w:r>
    </w:p>
    <w:p>
      <w:pPr>
        <w:tabs>
          <w:tab w:val="left" w:pos="2600"/>
        </w:tabs>
        <w:spacing w:after="100"/>
      </w:pPr>
      <w:r>
        <w:rPr>
          <w:b/>
          <w:bCs/>
          <w:color w:val="1F3A5F"/>
        </w:rPr>
        <w:t xml:space="preserve">Label</w:t>
      </w:r>
      <w:r>
        <w:t xml:space="preserve">	Program Internal</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660"/>
        <w:gridCol w:w="1600"/>
      </w:tblGrid>
      <w:tr>
        <w:trPr>
          <w:tblHeader/>
        </w:trPr>
        <w:tc>
          <w:tcPr>
            <w:tcW w:type="dxa" w:w="11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Version</w:t>
            </w:r>
          </w:p>
        </w:tc>
        <w:tc>
          <w:tcPr>
            <w:tcW w:type="dxa" w:w="20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Date</w:t>
            </w:r>
          </w:p>
        </w:tc>
        <w:tc>
          <w:tcPr>
            <w:tcW w:type="dxa" w:w="46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Description</w:t>
            </w:r>
          </w:p>
        </w:tc>
        <w:tc>
          <w:tcPr>
            <w:tcW w:type="dxa" w:w="16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Approved by</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0.9</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July 30, 2026</w:t>
            </w:r>
          </w:p>
        </w:tc>
        <w:tc>
          <w:tcPr>
            <w:tcW w:type="dxa" w:w="4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Draft circulated to workstream leads for review</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 Grelling</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1.0</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August 14, 2026</w:t>
            </w:r>
          </w:p>
        </w:tc>
        <w:tc>
          <w:tcPr>
            <w:tcW w:type="dxa" w:w="4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Approved for program use</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 Vantrease</w:t>
            </w:r>
          </w:p>
        </w:tc>
      </w:tr>
    </w:tbl>
    <w:p>
      <w:pPr>
        <w:spacing w:after="120"/>
      </w:pPr>
    </w:p>
    <w:p>
      <w:pPr>
        <w:pStyle w:val="Heading2"/>
      </w:pPr>
      <w:r>
        <w:t xml:space="preserve">Review cycle</w:t>
      </w:r>
    </w:p>
    <w:p>
      <w:pPr>
        <w:spacing w:after="160" w:line="300"/>
      </w:pPr>
      <w:r>
        <w:t xml:space="preserve">This standard is reviewed annually by the Contracts and Compliance Lead. The next scheduled review is August 2027. An earlier review may be called by the Program Manager after a data incident or a contract modification.</w:t>
      </w:r>
    </w:p>
    <w:p>
      <w:pPr>
        <w:pStyle w:val="Heading2"/>
      </w:pPr>
      <w:r>
        <w:t xml:space="preserve">How to use this document</w:t>
      </w:r>
    </w:p>
    <w:p>
      <w:pPr>
        <w:spacing w:after="160" w:line="300"/>
      </w:pPr>
      <w:r>
        <w:t xml:space="preserve">Read Sections 1 through 3 once to understand where program information belongs. Use Sections 4 through 9 as a working reference when you create, share, or retire information. Sections 10 through 12 describe what to do when something goes wrong, when someone leaves, and when a rule cannot be followed. Appendix A is a one-page quick reference that the Service Desk uses to answer the most common questions.</w:t>
      </w:r>
    </w:p>
    <w:p>
      <w:pPr>
        <w:spacing w:after="160" w:line="300"/>
      </w:pPr>
      <w:r>
        <w:t xml:space="preserve">Questions about this standard go to the Service Desk first. The Service Desk will route interpretation questions to the Contracts and Compliance Lead and technical questions to the Program IT Lead.</w:t>
      </w:r>
    </w:p>
    <w:p>
      <w:r>
        <w:br w:type="page"/>
      </w:r>
    </w:p>
    <w:p>
      <w:pPr>
        <w:pStyle w:val="Heading1"/>
      </w:pPr>
      <w:r>
        <w:t xml:space="preserve">1. Purpose and Scope</w:t>
      </w:r>
    </w:p>
    <w:p>
      <w:pPr>
        <w:spacing w:after="160" w:line="300"/>
      </w:pPr>
      <w:r>
        <w:t xml:space="preserve">This standard defines how the Harbor Point Resilience Assessment program team creates, stores, shares, protects, and retires program information. It applies to every member of the program team, to subcontractor staff working under the program, and to guest users from the Calder Bay Port Authority and the four submitting teams: Northlight Systems, Bracken Ridge Engineering, Sable Marine Analytics, and Verdant Quay Partners.</w:t>
      </w:r>
    </w:p>
    <w:p>
      <w:pPr>
        <w:spacing w:after="160" w:line="300"/>
      </w:pPr>
      <w:r>
        <w:t xml:space="preserve">The program handles inspection records for more than 12,000 port assets, technical approach submissions that are commercially sensitive to the teams that wrote them, and client correspondence that the Port Authority may mark as sensitive. Mishandling any of these could damage the client relationship, compromise the fairness of the approach evaluation, or breach the contract.</w:t>
      </w:r>
    </w:p>
    <w:p>
      <w:pPr>
        <w:spacing w:after="160" w:line="300"/>
      </w:pPr>
      <w:r>
        <w:t xml:space="preserve">The standard covers information in any form: documents, spreadsheets, photographs, messages, meeting recordings, and data held on field devices. It does not replace the contract or the Port Authority's own site rules. Where this standard and the contract disagree, the contract governs, and the conflict must be reported to the Contracts and Compliance Lead.</w:t>
      </w:r>
    </w:p>
    <w:p>
      <w:pPr>
        <w:pStyle w:val="Heading2"/>
      </w:pPr>
      <w:r>
        <w:t xml:space="preserve">In scope</w:t>
      </w:r>
    </w:p>
    <w:p>
      <w:pPr>
        <w:pStyle w:val="ListParagraph"/>
        <w:numPr>
          <w:ilvl w:val="0"/>
          <w:numId w:val="2"/>
        </w:numPr>
        <w:spacing w:after="90" w:line="290"/>
      </w:pPr>
      <w:r>
        <w:t xml:space="preserve">The program site and all of its document libraries</w:t>
      </w:r>
    </w:p>
    <w:p>
      <w:pPr>
        <w:pStyle w:val="ListParagraph"/>
        <w:numPr>
          <w:ilvl w:val="0"/>
          <w:numId w:val="2"/>
        </w:numPr>
        <w:spacing w:after="90" w:line="290"/>
      </w:pPr>
      <w:r>
        <w:t xml:space="preserve">Each team member's OneDrive folder named Harbor Point</w:t>
      </w:r>
    </w:p>
    <w:p>
      <w:pPr>
        <w:pStyle w:val="ListParagraph"/>
        <w:numPr>
          <w:ilvl w:val="0"/>
          <w:numId w:val="2"/>
        </w:numPr>
        <w:spacing w:after="90" w:line="290"/>
      </w:pPr>
      <w:r>
        <w:t xml:space="preserve">The program shared mailbox, team chat, and channels</w:t>
      </w:r>
    </w:p>
    <w:p>
      <w:pPr>
        <w:pStyle w:val="ListParagraph"/>
        <w:numPr>
          <w:ilvl w:val="0"/>
          <w:numId w:val="2"/>
        </w:numPr>
        <w:spacing w:after="90" w:line="290"/>
      </w:pPr>
      <w:r>
        <w:t xml:space="preserve">Program-issued laptops and the 14 field tablets issued to the inspection team</w:t>
      </w:r>
    </w:p>
    <w:p>
      <w:pPr>
        <w:pStyle w:val="ListParagraph"/>
        <w:numPr>
          <w:ilvl w:val="0"/>
          <w:numId w:val="2"/>
        </w:numPr>
        <w:spacing w:after="90" w:line="290"/>
      </w:pPr>
      <w:r>
        <w:t xml:space="preserve">Guest access granted to Port Authority staff and to submitting team representatives</w:t>
      </w:r>
    </w:p>
    <w:p>
      <w:pPr>
        <w:pStyle w:val="Heading2"/>
      </w:pPr>
      <w:r>
        <w:t xml:space="preserve">Out of scope</w:t>
      </w:r>
    </w:p>
    <w:p>
      <w:pPr>
        <w:pStyle w:val="ListParagraph"/>
        <w:numPr>
          <w:ilvl w:val="0"/>
          <w:numId w:val="2"/>
        </w:numPr>
        <w:spacing w:after="90" w:line="290"/>
      </w:pPr>
      <w:r>
        <w:t xml:space="preserve">Corporate human resources, payroll, and finance systems</w:t>
      </w:r>
    </w:p>
    <w:p>
      <w:pPr>
        <w:pStyle w:val="ListParagraph"/>
        <w:numPr>
          <w:ilvl w:val="0"/>
          <w:numId w:val="2"/>
        </w:numPr>
        <w:spacing w:after="90" w:line="290"/>
      </w:pPr>
      <w:r>
        <w:t xml:space="preserve">The Port Authority's operational networks and systems, which are governed by the Port Authority's own contractor handbook</w:t>
      </w:r>
    </w:p>
    <w:p>
      <w:pPr>
        <w:pStyle w:val="Heading1"/>
      </w:pPr>
      <w:r>
        <w:t xml:space="preserve">2. Roles and Responsibilities</w:t>
      </w:r>
    </w:p>
    <w:p>
      <w:pPr>
        <w:spacing w:after="160" w:line="300"/>
      </w:pPr>
      <w:r>
        <w:t xml:space="preserve">Every rule in this standard has a named owner. The table below lists who decides, who operates, and who to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Role</w:t>
            </w:r>
          </w:p>
        </w:tc>
        <w:tc>
          <w:tcPr>
            <w:tcW w:type="dxa" w:w="21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Named person</w:t>
            </w:r>
          </w:p>
        </w:tc>
        <w:tc>
          <w:tcPr>
            <w:tcW w:type="dxa" w:w="49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Responsibilities under this standard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Approves this standard. Approves access for new team members. Approves sharing outside the program. Accepts residual risk for exceptions.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Contracts and Compliance Lead</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Tomasz Grelling</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Owns this standard. Confirms alignment with the contract. Maintains the exceptions register and the sharing log. Leads data incident reviews.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IT Lead</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Operates the program site, security groups, and devices. Fulfills approved access requests. Runs the monthly access review.</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Lead Infrastructure Analyst</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Owns the inspection data workstream. Approves access to the Inspection Data library. Confirms the quality of field data.</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Service Desk Lead</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First point of contact for access problems, device issues, and incident reports. Maintains the knowledge base articles that explain this standard.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Liaison, Calder Bay Port Authority</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Priya Ramaswamy-Bell</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Sponsors Port Authority guest users. Confirms the client's handling expectations for information the Port Authority provides.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team members</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Everyone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Follow this standard. Complete the 30-minute handling briefing before first access. Report incidents promptly.</w:t>
            </w:r>
          </w:p>
        </w:tc>
      </w:tr>
    </w:tbl>
    <w:p>
      <w:pPr>
        <w:spacing w:after="120"/>
      </w:pPr>
    </w:p>
    <w:p>
      <w:pPr>
        <w:spacing w:after="160" w:line="300"/>
      </w:pPr>
      <w:r>
        <w:t xml:space="preserve">Workstream leads act as sponsors for the people in their workstream. A sponsor confirms that a person needs access, confirms that the person has completed the handling briefing, and tells the Service Desk when the person no longer needs access.</w:t>
      </w:r>
    </w:p>
    <w:p>
      <w:pPr>
        <w:pStyle w:val="Heading1"/>
      </w:pPr>
      <w:r>
        <w:t xml:space="preserve">3. Where Program Information Lives</w:t>
      </w:r>
    </w:p>
    <w:p>
      <w:pPr>
        <w:spacing w:after="160" w:line="300"/>
      </w:pPr>
      <w:r>
        <w:t xml:space="preserve">Program information has one correct home. Storing a file in the right place is the single most effective control in this standard, because permissions, labels, retention, and search all depend on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Information type</w:t>
            </w:r>
          </w:p>
        </w:tc>
        <w:tc>
          <w:tcPr>
            <w:tcW w:type="dxa" w:w="29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Correct home</w:t>
            </w:r>
          </w:p>
        </w:tc>
        <w:tc>
          <w:tcPr>
            <w:tcW w:type="dxa" w:w="37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Final deliverables and approved records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Deliverables library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Read-only for most team members. Only the Program Manager's delegates can publish.</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Working drafts owned by one person</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author's OneDrive, Harbor Point folder</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Move the file to the program site within 5 business days of first sharing it, or as soon as a second author joins.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Team working files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workstream libraries</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Libraries: Program Management, Inspection Data, Approach Evaluation, Client Correspondence, Compliance.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Technical approach submissions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Approach Evaluation library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Restricted to the evaluation panel. Labeled Evaluation Restricted.</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Inspection photographs and field notes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Inspection Data library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Uploaded from field tablets. Do not copy to laptops or personal storage.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Coordination and quick questions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team chat and channels</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Record any decision in the decision log within 2 business days.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 with the client</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shared mailbox</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Final deliverables are sent from the shared mailbox so the record stays with the program.</w:t>
            </w:r>
          </w:p>
        </w:tc>
      </w:tr>
    </w:tbl>
    <w:p>
      <w:pPr>
        <w:spacing w:after="120"/>
      </w:pPr>
    </w:p>
    <w:p>
      <w:pPr>
        <w:spacing w:after="160" w:line="300"/>
      </w:pPr>
      <w:r>
        <w:t xml:space="preserve">Program information must not be stored in any of the following places:</w:t>
      </w:r>
    </w:p>
    <w:p>
      <w:pPr>
        <w:pStyle w:val="ListParagraph"/>
        <w:numPr>
          <w:ilvl w:val="0"/>
          <w:numId w:val="2"/>
        </w:numPr>
        <w:spacing w:after="90" w:line="290"/>
      </w:pPr>
      <w:r>
        <w:t xml:space="preserve">Local folders on a laptop, including the desktop and the downloads folder</w:t>
      </w:r>
    </w:p>
    <w:p>
      <w:pPr>
        <w:pStyle w:val="ListParagraph"/>
        <w:numPr>
          <w:ilvl w:val="0"/>
          <w:numId w:val="2"/>
        </w:numPr>
        <w:spacing w:after="90" w:line="290"/>
      </w:pPr>
      <w:r>
        <w:t xml:space="preserve">Personal cloud storage or personal email accounts</w:t>
      </w:r>
    </w:p>
    <w:p>
      <w:pPr>
        <w:pStyle w:val="ListParagraph"/>
        <w:numPr>
          <w:ilvl w:val="0"/>
          <w:numId w:val="2"/>
        </w:numPr>
        <w:spacing w:after="90" w:line="290"/>
      </w:pPr>
      <w:r>
        <w:t xml:space="preserve">USB drives or other removable media, unless an exception has been approved under Section 12</w:t>
      </w:r>
    </w:p>
    <w:p>
      <w:pPr>
        <w:pStyle w:val="ListParagraph"/>
        <w:numPr>
          <w:ilvl w:val="0"/>
          <w:numId w:val="2"/>
        </w:numPr>
        <w:spacing w:after="90" w:line="290"/>
      </w:pPr>
      <w:r>
        <w:t xml:space="preserve">Chat messages used as a long-term record</w:t>
      </w:r>
    </w:p>
    <w:p>
      <w:pPr>
        <w:pStyle w:val="Heading1"/>
      </w:pPr>
      <w:r>
        <w:t xml:space="preserve">4. File Naming and Version Control</w:t>
      </w:r>
    </w:p>
    <w:p>
      <w:pPr>
        <w:spacing w:after="160" w:line="300"/>
      </w:pPr>
      <w:r>
        <w:t xml:space="preserve">Consistent names make files findable by people and by search. Every file saved to a program library follows the naming pattern below.</w:t>
      </w:r>
    </w:p>
    <w:p>
      <w:pPr>
        <w:spacing w:after="160" w:line="300"/>
      </w:pPr>
      <w:r>
        <w:rPr>
          <w:b/>
          <w:bCs/>
        </w:rPr>
        <w:t xml:space="preserve">Pattern: </w:t>
      </w:r>
      <w:r>
        <w:t xml:space="preserve">HP-[Workstream]-[DocType]-[YYYYMMDD]-v[Major.Minor]</w:t>
      </w:r>
    </w:p>
    <w:p>
      <w:pPr>
        <w:spacing w:after="160" w:line="300"/>
      </w:pPr>
      <w:r>
        <w:rPr>
          <w:b/>
          <w:bCs/>
        </w:rPr>
        <w:t xml:space="preserve">Example: </w:t>
      </w:r>
      <w:r>
        <w:t xml:space="preserve">HP-INSP-Report-20260811-v1.2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Workstream code</w:t>
            </w:r>
          </w:p>
        </w:tc>
        <w:tc>
          <w:tcPr>
            <w:tcW w:type="dxa" w:w="37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Workstream</w:t>
            </w:r>
          </w:p>
        </w:tc>
        <w:tc>
          <w:tcPr>
            <w:tcW w:type="dxa" w:w="3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Lead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PMO</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Management</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Inspection Data</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Approach Evaluation</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CLNT</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Correspondence</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COMP</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Compliance</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Tomasz Grelling</w:t>
            </w:r>
          </w:p>
        </w:tc>
      </w:tr>
    </w:tbl>
    <w:p>
      <w:pPr>
        <w:spacing w:after="120"/>
      </w:pPr>
    </w:p>
    <w:p>
      <w:pPr>
        <w:pStyle w:val="Heading2"/>
      </w:pPr>
      <w:r>
        <w:t xml:space="preserve">Version rules</w:t>
      </w:r>
    </w:p>
    <w:p>
      <w:pPr>
        <w:pStyle w:val="ListParagraph"/>
        <w:numPr>
          <w:ilvl w:val="0"/>
          <w:numId w:val="2"/>
        </w:numPr>
        <w:spacing w:after="90" w:line="290"/>
      </w:pPr>
      <w:r>
        <w:t xml:space="preserve">Increase the minor number for each round of edits, for example v1.1 to v1.2.</w:t>
      </w:r>
    </w:p>
    <w:p>
      <w:pPr>
        <w:pStyle w:val="ListParagraph"/>
        <w:numPr>
          <w:ilvl w:val="0"/>
          <w:numId w:val="2"/>
        </w:numPr>
        <w:spacing w:after="90" w:line="290"/>
      </w:pPr>
      <w:r>
        <w:t xml:space="preserve">Increase the major number when the document is approved, for example v1.4 to v2.0.</w:t>
      </w:r>
    </w:p>
    <w:p>
      <w:pPr>
        <w:pStyle w:val="ListParagraph"/>
        <w:numPr>
          <w:ilvl w:val="0"/>
          <w:numId w:val="2"/>
        </w:numPr>
        <w:spacing w:after="90" w:line="290"/>
      </w:pPr>
      <w:r>
        <w:t xml:space="preserve">Do not use words such as final, latest, or new in a file name.</w:t>
      </w:r>
    </w:p>
    <w:p>
      <w:pPr>
        <w:pStyle w:val="ListParagraph"/>
        <w:numPr>
          <w:ilvl w:val="0"/>
          <w:numId w:val="2"/>
        </w:numPr>
        <w:spacing w:after="90" w:line="290"/>
      </w:pPr>
      <w:r>
        <w:t xml:space="preserve">Rely on the library's version history to recover earlier versions. Do not keep manual copies.</w:t>
      </w:r>
    </w:p>
    <w:p>
      <w:pPr>
        <w:pStyle w:val="ListParagraph"/>
        <w:numPr>
          <w:ilvl w:val="0"/>
          <w:numId w:val="2"/>
        </w:numPr>
        <w:spacing w:after="90" w:line="290"/>
      </w:pPr>
      <w:r>
        <w:t xml:space="preserve">Share a link to the file. Do not email attachments to other team members.</w:t>
      </w:r>
    </w:p>
    <w:p>
      <w:pPr>
        <w:pStyle w:val="Heading1"/>
      </w:pPr>
      <w:r>
        <w:t xml:space="preserve">5. Access Requests and Approvals</w:t>
      </w:r>
    </w:p>
    <w:p>
      <w:pPr>
        <w:spacing w:after="160" w:line="300"/>
      </w:pPr>
      <w:r>
        <w:t xml:space="preserve">Access is granted to security groups, never directly to individuals. A person receives access by being added to the group that matches their role. This keeps permissions consistent and makes the monthly access review possible.</w:t>
      </w:r>
    </w:p>
    <w:p>
      <w:pPr>
        <w:pStyle w:val="Heading2"/>
      </w:pPr>
      <w:r>
        <w:t xml:space="preserve">How to request access</w:t>
      </w:r>
    </w:p>
    <w:p>
      <w:pPr>
        <w:pStyle w:val="ListParagraph"/>
        <w:numPr>
          <w:ilvl w:val="0"/>
          <w:numId w:val="3"/>
        </w:numPr>
        <w:spacing w:after="90" w:line="290"/>
      </w:pPr>
      <w:r>
        <w:t xml:space="preserve">The sponsor submits the Program Access Request form through the Service Desk portal.</w:t>
      </w:r>
    </w:p>
    <w:p>
      <w:pPr>
        <w:pStyle w:val="ListParagraph"/>
        <w:numPr>
          <w:ilvl w:val="0"/>
          <w:numId w:val="3"/>
        </w:numPr>
        <w:spacing w:after="90" w:line="290"/>
      </w:pPr>
      <w:r>
        <w:t xml:space="preserve">The sponsor confirms that the person has completed the 30-minute handling briefing.</w:t>
      </w:r>
    </w:p>
    <w:p>
      <w:pPr>
        <w:pStyle w:val="ListParagraph"/>
        <w:numPr>
          <w:ilvl w:val="0"/>
          <w:numId w:val="3"/>
        </w:numPr>
        <w:spacing w:after="90" w:line="290"/>
      </w:pPr>
      <w:r>
        <w:t xml:space="preserve">The approver for the requested library approves or declines the request in the portal.</w:t>
      </w:r>
    </w:p>
    <w:p>
      <w:pPr>
        <w:pStyle w:val="ListParagraph"/>
        <w:numPr>
          <w:ilvl w:val="0"/>
          <w:numId w:val="3"/>
        </w:numPr>
        <w:spacing w:after="90" w:line="290"/>
      </w:pPr>
      <w:r>
        <w:t xml:space="preserve">Program IT fulfills an approved request within two business days and confirms to the sponsor and the new user.</w:t>
      </w:r>
    </w:p>
    <w:p>
      <w:pPr>
        <w:pStyle w:val="Heading2"/>
      </w:pPr>
      <w:r>
        <w:t xml:space="preserve">Who approves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Library or resource</w:t>
            </w:r>
          </w:p>
        </w:tc>
        <w:tc>
          <w:tcPr>
            <w:tcW w:type="dxa" w:w="30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Security group</w:t>
            </w:r>
          </w:p>
        </w:tc>
        <w:tc>
          <w:tcPr>
            <w:tcW w:type="dxa" w:w="31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Approver</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general access</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HarborPoint-Members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Inspection Data library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HP-Inspection-Contributors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Lead Infrastructure Analyst</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Approach Evaluation library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HP-Evaluation-Panel</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 and Contracts and Compliance Lead</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Correspondence library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HP-Client-Correspondence</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shared mailbox</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HP-Mailbox-Delegates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bl>
    <w:p>
      <w:pPr>
        <w:spacing w:after="120"/>
      </w:pPr>
    </w:p>
    <w:p>
      <w:pPr>
        <w:spacing w:after="160" w:line="300"/>
      </w:pPr>
      <w:r>
        <w:t xml:space="preserve">Program IT runs an access review on the first Monday of each month. Each approver receives a list of the people in their groups and confirms or removes each one within 5 business days. Access that is not confirmed is removed.</w:t>
      </w:r>
    </w:p>
    <w:p>
      <w:pPr>
        <w:pStyle w:val="Heading1"/>
      </w:pPr>
      <w:r>
        <w:t xml:space="preserve">6. Sharing with the Client and Submitting Teams</w:t>
      </w:r>
    </w:p>
    <w:p>
      <w:pPr>
        <w:spacing w:after="160" w:line="300"/>
      </w:pPr>
      <w:r>
        <w:t xml:space="preserve">The program works with the Calder Bay Port Authority as its client and with four submitting teams whose technical approaches are being evaluated. Each submitting team must be confident that its material is seen only by the evaluation panel and never by a competing team.</w:t>
      </w:r>
    </w:p>
    <w:p>
      <w:pPr>
        <w:pStyle w:val="Heading2"/>
      </w:pPr>
      <w:r>
        <w:t xml:space="preserve">Guest users</w:t>
      </w:r>
    </w:p>
    <w:p>
      <w:pPr>
        <w:pStyle w:val="ListParagraph"/>
        <w:numPr>
          <w:ilvl w:val="0"/>
          <w:numId w:val="2"/>
        </w:numPr>
        <w:spacing w:after="90" w:line="290"/>
      </w:pPr>
      <w:r>
        <w:t xml:space="preserve">Port Authority guest users are sponsored by the Client Liaison and approved by the Program Manager.</w:t>
      </w:r>
    </w:p>
    <w:p>
      <w:pPr>
        <w:pStyle w:val="ListParagraph"/>
        <w:numPr>
          <w:ilvl w:val="0"/>
          <w:numId w:val="2"/>
        </w:numPr>
        <w:spacing w:after="90" w:line="290"/>
      </w:pPr>
      <w:r>
        <w:t xml:space="preserve">Submitting team guest users are sponsored by the Contracts and Compliance Lead. Each submitting team has a separate, private upload folder and cannot see any other team's folder.</w:t>
      </w:r>
    </w:p>
    <w:p>
      <w:pPr>
        <w:pStyle w:val="ListParagraph"/>
        <w:numPr>
          <w:ilvl w:val="0"/>
          <w:numId w:val="2"/>
        </w:numPr>
        <w:spacing w:after="90" w:line="290"/>
      </w:pPr>
      <w:r>
        <w:t xml:space="preserve">The maximum number of guest accounts for each organization is listed in Appendix A.</w:t>
      </w:r>
    </w:p>
    <w:p>
      <w:pPr>
        <w:pStyle w:val="Heading2"/>
      </w:pPr>
      <w:r>
        <w:t xml:space="preserve">Sharing links</w:t>
      </w:r>
    </w:p>
    <w:p>
      <w:pPr>
        <w:pStyle w:val="ListParagraph"/>
        <w:numPr>
          <w:ilvl w:val="0"/>
          <w:numId w:val="2"/>
        </w:numPr>
        <w:spacing w:after="90" w:line="290"/>
      </w:pPr>
      <w:r>
        <w:t xml:space="preserve">Share only from the program site. Do not share program files from a personal OneDrive folder with anyone outside the program.</w:t>
      </w:r>
    </w:p>
    <w:p>
      <w:pPr>
        <w:pStyle w:val="ListParagraph"/>
        <w:numPr>
          <w:ilvl w:val="0"/>
          <w:numId w:val="2"/>
        </w:numPr>
        <w:spacing w:after="90" w:line="290"/>
      </w:pPr>
      <w:r>
        <w:t xml:space="preserve">Use links restricted to specific people. Links that work for anyone are disabled on the program site and must not be requested.</w:t>
      </w:r>
    </w:p>
    <w:p>
      <w:pPr>
        <w:pStyle w:val="ListParagraph"/>
        <w:numPr>
          <w:ilvl w:val="0"/>
          <w:numId w:val="2"/>
        </w:numPr>
        <w:spacing w:after="90" w:line="290"/>
      </w:pPr>
      <w:r>
        <w:t xml:space="preserve">Sharing a file or folder outside the program requires approval from the Program Manager before the link is created.</w:t>
      </w:r>
    </w:p>
    <w:p>
      <w:pPr>
        <w:pStyle w:val="ListParagraph"/>
        <w:numPr>
          <w:ilvl w:val="0"/>
          <w:numId w:val="2"/>
        </w:numPr>
        <w:spacing w:after="90" w:line="290"/>
      </w:pPr>
      <w:r>
        <w:t xml:space="preserve">External sharing links expire 30 days after they are created. A new approval is required to extend a link.</w:t>
      </w:r>
    </w:p>
    <w:p>
      <w:pPr>
        <w:pStyle w:val="Heading2"/>
      </w:pPr>
      <w:r>
        <w:t xml:space="preserve">What is never shared</w:t>
      </w:r>
    </w:p>
    <w:p>
      <w:pPr>
        <w:pStyle w:val="ListParagraph"/>
        <w:numPr>
          <w:ilvl w:val="0"/>
          <w:numId w:val="2"/>
        </w:numPr>
        <w:spacing w:after="90" w:line="290"/>
      </w:pPr>
      <w:r>
        <w:t xml:space="preserve">Technical approach submissions are never shared outside the evaluation panel.</w:t>
      </w:r>
    </w:p>
    <w:p>
      <w:pPr>
        <w:pStyle w:val="ListParagraph"/>
        <w:numPr>
          <w:ilvl w:val="0"/>
          <w:numId w:val="2"/>
        </w:numPr>
        <w:spacing w:after="90" w:line="290"/>
      </w:pPr>
      <w:r>
        <w:t xml:space="preserve">Evaluation notes, scores, and rankings are never shared with any submitting team before the Program Manager announces the outcome.</w:t>
      </w:r>
    </w:p>
    <w:p>
      <w:pPr>
        <w:pStyle w:val="ListParagraph"/>
        <w:numPr>
          <w:ilvl w:val="0"/>
          <w:numId w:val="2"/>
        </w:numPr>
        <w:spacing w:after="90" w:line="290"/>
      </w:pPr>
      <w:r>
        <w:t xml:space="preserve">Raw inspection photographs are shared with the Port Authority only through the Deliverables library.</w:t>
      </w:r>
    </w:p>
    <w:p>
      <w:pPr>
        <w:pStyle w:val="Heading1"/>
      </w:pPr>
      <w:r>
        <w:t xml:space="preserve">7. Devices</w:t>
      </w:r>
    </w:p>
    <w:p>
      <w:pPr>
        <w:spacing w:after="160" w:line="300"/>
      </w:pPr>
      <w:r>
        <w:t xml:space="preserve">Program information is accessed primarily from program-issued, managed devices. The rules below apply to each type of device.</w:t>
      </w:r>
    </w:p>
    <w:p>
      <w:pPr>
        <w:pStyle w:val="Heading2"/>
      </w:pPr>
      <w:r>
        <w:t xml:space="preserve">7.1 Laptops</w:t>
      </w:r>
    </w:p>
    <w:p>
      <w:pPr>
        <w:spacing w:after="160" w:line="300"/>
      </w:pPr>
      <w:r>
        <w:t xml:space="preserve">Laptops are issued by Program IT, encrypted, and managed. The screen locks after 15 minutes of inactivity. Team members must not disable security software, install unapproved software, or allow another person to use their signed-in session.</w:t>
      </w:r>
    </w:p>
    <w:p>
      <w:pPr>
        <w:pStyle w:val="Heading2"/>
      </w:pPr>
      <w:r>
        <w:t xml:space="preserve">7.2 Field tablets</w:t>
      </w:r>
    </w:p>
    <w:p>
      <w:pPr>
        <w:spacing w:after="160" w:line="300"/>
      </w:pPr>
      <w:r>
        <w:t xml:space="preserve">The inspection team uses 14 program-issued tablets to capture photographs and condition notes on site. Tablets can work offline when there is no signal on the wharf.</w:t>
      </w:r>
    </w:p>
    <w:p>
      <w:pPr>
        <w:pStyle w:val="ListParagraph"/>
        <w:numPr>
          <w:ilvl w:val="0"/>
          <w:numId w:val="2"/>
        </w:numPr>
        <w:spacing w:after="90" w:line="290"/>
      </w:pPr>
      <w:r>
        <w:t xml:space="preserve">Each tablet is protected with a six-digit PIN that is unique to the inspector.</w:t>
      </w:r>
    </w:p>
    <w:p>
      <w:pPr>
        <w:pStyle w:val="ListParagraph"/>
        <w:numPr>
          <w:ilvl w:val="0"/>
          <w:numId w:val="2"/>
        </w:numPr>
        <w:spacing w:after="90" w:line="290"/>
      </w:pPr>
      <w:r>
        <w:t xml:space="preserve">Tablets lock automatically after 10 minutes of inactivity.</w:t>
      </w:r>
    </w:p>
    <w:p>
      <w:pPr>
        <w:pStyle w:val="ListParagraph"/>
        <w:numPr>
          <w:ilvl w:val="0"/>
          <w:numId w:val="2"/>
        </w:numPr>
        <w:spacing w:after="90" w:line="290"/>
      </w:pPr>
      <w:r>
        <w:t xml:space="preserve">Data captured offline must be synchronized to the Inspection Data library within 72 hours of capture.</w:t>
      </w:r>
    </w:p>
    <w:p>
      <w:pPr>
        <w:pStyle w:val="ListParagraph"/>
        <w:numPr>
          <w:ilvl w:val="0"/>
          <w:numId w:val="2"/>
        </w:numPr>
        <w:spacing w:after="90" w:line="290"/>
      </w:pPr>
      <w:r>
        <w:t xml:space="preserve">Tablets are stored in the locked field case when not in use and are never left in an unattended vehicle.</w:t>
      </w:r>
    </w:p>
    <w:p>
      <w:pPr>
        <w:pStyle w:val="Heading2"/>
      </w:pPr>
      <w:r>
        <w:t xml:space="preserve">7.3 Removable media</w:t>
      </w:r>
    </w:p>
    <w:p>
      <w:pPr>
        <w:spacing w:after="160" w:line="300"/>
      </w:pPr>
      <w:r>
        <w:t xml:space="preserve">USB drives, memory cards, and external disks are not permitted for program information. If the Port Authority provides data on removable media, hand it to Program IT, who will transfer the content to the correct library and return or destroy the media.</w:t>
      </w:r>
    </w:p>
    <w:p>
      <w:pPr>
        <w:pStyle w:val="Heading2"/>
      </w:pPr>
      <w:r>
        <w:t xml:space="preserve">7.4 Personal mobile devices</w:t>
      </w:r>
    </w:p>
    <w:p>
      <w:pPr>
        <w:spacing w:after="160" w:line="300"/>
      </w:pPr>
      <w:r>
        <w:t xml:space="preserve">Team members may use the Outlook and Teams mobile apps on a personal phone, provided the phone is enrolled in the program's app protection policy. The policy requires an app PIN, blocks copying program content into personal apps, and allows Program IT to remove program data from the apps remotely. Program files must not be downloaded to a personal device.</w:t>
      </w:r>
    </w:p>
    <w:p>
      <w:pPr>
        <w:pStyle w:val="Heading2"/>
      </w:pPr>
      <w:r>
        <w:t xml:space="preserve">7.5 Lost or stolen devices</w:t>
      </w:r>
    </w:p>
    <w:p>
      <w:pPr>
        <w:spacing w:after="160" w:line="300"/>
      </w:pPr>
      <w:r>
        <w:t xml:space="preserve">Report a lost or stolen laptop, tablet, or phone to the Service Desk by telephone immediately. Do not wait to see whether the device turns up. Program IT will lock the device, remove program data, and record the event as a data incident under Section 10.</w:t>
      </w:r>
    </w:p>
    <w:p>
      <w:pPr>
        <w:pStyle w:val="Heading1"/>
      </w:pPr>
      <w:r>
        <w:t xml:space="preserve">8. Sensitivity Labels and Marked Information</w:t>
      </w:r>
    </w:p>
    <w:p>
      <w:pPr>
        <w:spacing w:after="160" w:line="300"/>
      </w:pPr>
      <w:r>
        <w:t xml:space="preserve">Every program document carries a sensitivity label. The label travels with the file and controls who can open it, whether it can be shared outside the program, and whether it is encrypted. The default label for new files in program libraries is Program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Label</w:t>
            </w:r>
          </w:p>
        </w:tc>
        <w:tc>
          <w:tcPr>
            <w:tcW w:type="dxa" w:w="38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Use it for</w:t>
            </w:r>
          </w:p>
        </w:tc>
        <w:tc>
          <w:tcPr>
            <w:tcW w:type="dxa" w:w="35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Handling rules</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General</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Published material, meeting logistics, templates with no program content</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May be shared outside the program without approval.</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Internal</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Working files, plans, status notes, meeting notes</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team only. External sharing requires approval under Section 6.</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Sensitive</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Information the Port Authority has marked as sensitive, security-related site details, unreleased findings</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Named individuals only. Encrypted. Do not print outside the program office.</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Evaluation Restricted</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Technical approach submissions, evaluation notes, scores, and rankings</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Evaluation panel only. Encrypted. Never shared outside the panel.</w:t>
            </w:r>
          </w:p>
        </w:tc>
      </w:tr>
    </w:tbl>
    <w:p>
      <w:pPr>
        <w:spacing w:after="120"/>
      </w:pPr>
    </w:p>
    <w:p>
      <w:pPr>
        <w:pStyle w:val="ListParagraph"/>
        <w:numPr>
          <w:ilvl w:val="0"/>
          <w:numId w:val="2"/>
        </w:numPr>
        <w:spacing w:after="90" w:line="290"/>
      </w:pPr>
      <w:r>
        <w:t xml:space="preserve">Do not lower a label without the agreement of the document owner. Lowering a label is recorded automatically.</w:t>
      </w:r>
    </w:p>
    <w:p>
      <w:pPr>
        <w:pStyle w:val="ListParagraph"/>
        <w:numPr>
          <w:ilvl w:val="0"/>
          <w:numId w:val="2"/>
        </w:numPr>
        <w:spacing w:after="90" w:line="290"/>
      </w:pPr>
      <w:r>
        <w:t xml:space="preserve">If you receive a document from the Port Authority with its own marking, apply Client Sensitive unless the Client Liaison confirms otherwise.</w:t>
      </w:r>
    </w:p>
    <w:p>
      <w:pPr>
        <w:pStyle w:val="ListParagraph"/>
        <w:numPr>
          <w:ilvl w:val="0"/>
          <w:numId w:val="2"/>
        </w:numPr>
        <w:spacing w:after="90" w:line="290"/>
      </w:pPr>
      <w:r>
        <w:t xml:space="preserve">Printed copies of Client Sensitive and Evaluation Restricted documents stay in the program office and are shredded after use.</w:t>
      </w:r>
    </w:p>
    <w:p>
      <w:pPr>
        <w:pStyle w:val="Heading1"/>
      </w:pPr>
      <w:r>
        <w:t xml:space="preserve">9. Retention and Disposition</w:t>
      </w:r>
    </w:p>
    <w:p>
      <w:pPr>
        <w:spacing w:after="160" w:line="300"/>
      </w:pPr>
      <w:r>
        <w:t xml:space="preserve">Program records in the program site are retained for three years after program closeout and are then disposed of. Retention is applied automatically by library.</w:t>
      </w:r>
    </w:p>
    <w:p>
      <w:pPr>
        <w:pStyle w:val="ListParagraph"/>
        <w:numPr>
          <w:ilvl w:val="0"/>
          <w:numId w:val="2"/>
        </w:numPr>
        <w:spacing w:after="90" w:line="290"/>
      </w:pPr>
      <w:r>
        <w:t xml:space="preserve">Working drafts that remain in a team member's OneDrive Harbor Point folder are deleted 90 days after program closeout.</w:t>
      </w:r>
    </w:p>
    <w:p>
      <w:pPr>
        <w:pStyle w:val="ListParagraph"/>
        <w:numPr>
          <w:ilvl w:val="0"/>
          <w:numId w:val="2"/>
        </w:numPr>
        <w:spacing w:after="90" w:line="290"/>
      </w:pPr>
      <w:r>
        <w:t xml:space="preserve">Program chat messages are retained for one year. Decisions made in chat must be recorded in the decision log so that the record outlives the message.</w:t>
      </w:r>
    </w:p>
    <w:p>
      <w:pPr>
        <w:pStyle w:val="ListParagraph"/>
        <w:numPr>
          <w:ilvl w:val="0"/>
          <w:numId w:val="2"/>
        </w:numPr>
        <w:spacing w:after="90" w:line="290"/>
      </w:pPr>
      <w:r>
        <w:t xml:space="preserve">Local data on a field tablet is wiped when the tablet is returned to Program IT.</w:t>
      </w:r>
    </w:p>
    <w:p>
      <w:pPr>
        <w:pStyle w:val="ListParagraph"/>
        <w:numPr>
          <w:ilvl w:val="0"/>
          <w:numId w:val="2"/>
        </w:numPr>
        <w:spacing w:after="90" w:line="290"/>
      </w:pPr>
      <w:r>
        <w:t xml:space="preserve">Disposition of records is approved by the Contracts and Compliance Lead. A legal hold overrides every retention period in this section.</w:t>
      </w:r>
    </w:p>
    <w:p>
      <w:pPr>
        <w:pStyle w:val="Heading1"/>
      </w:pPr>
      <w:r>
        <w:t xml:space="preserve">10. Reporting Data Incidents</w:t>
      </w:r>
    </w:p>
    <w:p>
      <w:pPr>
        <w:spacing w:after="160" w:line="300"/>
      </w:pPr>
      <w:r>
        <w:t xml:space="preserve">A data incident is any event in which program information may have been seen, changed, lost, or shared in a way this standard does not allow. Reporting quickly limits the damage. Nobody will be criticized for reporting promptly and honestly.</w:t>
      </w:r>
    </w:p>
    <w:p>
      <w:pPr>
        <w:spacing w:after="160" w:line="300"/>
      </w:pPr>
      <w:r>
        <w:t xml:space="preserve">Examples of data incidents:</w:t>
      </w:r>
    </w:p>
    <w:p>
      <w:pPr>
        <w:pStyle w:val="ListParagraph"/>
        <w:numPr>
          <w:ilvl w:val="0"/>
          <w:numId w:val="2"/>
        </w:numPr>
        <w:spacing w:after="90" w:line="290"/>
      </w:pPr>
      <w:r>
        <w:t xml:space="preserve">An email or sharing link sent to the wrong person</w:t>
      </w:r>
    </w:p>
    <w:p>
      <w:pPr>
        <w:pStyle w:val="ListParagraph"/>
        <w:numPr>
          <w:ilvl w:val="0"/>
          <w:numId w:val="2"/>
        </w:numPr>
        <w:spacing w:after="90" w:line="290"/>
      </w:pPr>
      <w:r>
        <w:t xml:space="preserve">A lost or stolen laptop, tablet, or phone</w:t>
      </w:r>
    </w:p>
    <w:p>
      <w:pPr>
        <w:pStyle w:val="ListParagraph"/>
        <w:numPr>
          <w:ilvl w:val="0"/>
          <w:numId w:val="2"/>
        </w:numPr>
        <w:spacing w:after="90" w:line="290"/>
      </w:pPr>
      <w:r>
        <w:t xml:space="preserve">A document with the wrong label shared outside the program</w:t>
      </w:r>
    </w:p>
    <w:p>
      <w:pPr>
        <w:pStyle w:val="ListParagraph"/>
        <w:numPr>
          <w:ilvl w:val="0"/>
          <w:numId w:val="2"/>
        </w:numPr>
        <w:spacing w:after="90" w:line="290"/>
      </w:pPr>
      <w:r>
        <w:t xml:space="preserve">A submitting team guest who can see another team's folder</w:t>
      </w:r>
    </w:p>
    <w:p>
      <w:pPr>
        <w:pStyle w:val="ListParagraph"/>
        <w:numPr>
          <w:ilvl w:val="0"/>
          <w:numId w:val="2"/>
        </w:numPr>
        <w:spacing w:after="90" w:line="290"/>
      </w:pPr>
      <w:r>
        <w:t xml:space="preserve">Signs that someone else has used your account</w:t>
      </w:r>
    </w:p>
    <w:p>
      <w:pPr>
        <w:spacing w:after="160" w:line="300"/>
      </w:pPr>
      <w:r>
        <w:t xml:space="preserve">Report a suspected data incident to the Service Desk within 4 hours of discovering it. The Service Desk notifies the Program IT Lead and the Contracts and Compliance Lead.</w:t>
      </w:r>
    </w:p>
    <w:p>
      <w:pPr>
        <w:spacing w:after="160" w:line="300"/>
      </w:pPr>
      <w:r>
        <w:t xml:space="preserve">The Contracts and Compliance Lead decides whether the contract requires the client to be notified. When Client Sensitive information is involved, the Client Liaison is notified within one business day.</w:t>
      </w:r>
    </w:p>
    <w:p>
      <w:pPr>
        <w:pStyle w:val="Heading1"/>
      </w:pPr>
      <w:r>
        <w:t xml:space="preserve">11. Offboarding and Access Removal</w:t>
      </w:r>
    </w:p>
    <w:p>
      <w:pPr>
        <w:pStyle w:val="ListParagraph"/>
        <w:numPr>
          <w:ilvl w:val="0"/>
          <w:numId w:val="2"/>
        </w:numPr>
        <w:spacing w:after="90" w:line="290"/>
      </w:pPr>
      <w:r>
        <w:t xml:space="preserve">The sponsor notifies the Service Desk at least 3 business days before a team member leaves the program.</w:t>
      </w:r>
    </w:p>
    <w:p>
      <w:pPr>
        <w:pStyle w:val="ListParagraph"/>
        <w:numPr>
          <w:ilvl w:val="0"/>
          <w:numId w:val="2"/>
        </w:numPr>
        <w:spacing w:after="90" w:line="290"/>
      </w:pPr>
      <w:r>
        <w:t xml:space="preserve">Program IT removes the person from all program security groups by the end of their last working day.</w:t>
      </w:r>
    </w:p>
    <w:p>
      <w:pPr>
        <w:pStyle w:val="ListParagraph"/>
        <w:numPr>
          <w:ilvl w:val="0"/>
          <w:numId w:val="2"/>
        </w:numPr>
        <w:spacing w:after="90" w:line="290"/>
      </w:pPr>
      <w:r>
        <w:t xml:space="preserve">Laptops and tablets are returned to Program IT on or before the last working day.</w:t>
      </w:r>
    </w:p>
    <w:p>
      <w:pPr>
        <w:pStyle w:val="ListParagraph"/>
        <w:numPr>
          <w:ilvl w:val="0"/>
          <w:numId w:val="2"/>
        </w:numPr>
        <w:spacing w:after="90" w:line="290"/>
      </w:pPr>
      <w:r>
        <w:t xml:space="preserve">The contents of the person's OneDrive Harbor Point folder are transferred to the workstream lead.</w:t>
      </w:r>
    </w:p>
    <w:p>
      <w:pPr>
        <w:pStyle w:val="ListParagraph"/>
        <w:numPr>
          <w:ilvl w:val="0"/>
          <w:numId w:val="2"/>
        </w:numPr>
        <w:spacing w:after="90" w:line="290"/>
      </w:pPr>
      <w:r>
        <w:t xml:space="preserve">Guest accounts are removed within one business day of the sponsor's notification, and automatically after 60 days without a sign-in.</w:t>
      </w:r>
    </w:p>
    <w:p>
      <w:pPr>
        <w:pStyle w:val="Heading1"/>
      </w:pPr>
      <w:r>
        <w:t xml:space="preserve">12. Exceptions, Compliance, and Review</w:t>
      </w:r>
    </w:p>
    <w:p>
      <w:pPr>
        <w:spacing w:after="160" w:line="300"/>
      </w:pPr>
      <w:r>
        <w:t xml:space="preserve">If a rule in this standard cannot be followed, request an exception in writing from the Contracts and Compliance Lead before acting. An exception is granted for a stated purpose and for no longer than 90 days, and it is recorded in the exceptions register. The Program Manager accepts the residual risk for each exception.</w:t>
      </w:r>
    </w:p>
    <w:p>
      <w:pPr>
        <w:spacing w:after="160" w:line="300"/>
      </w:pPr>
      <w:r>
        <w:t xml:space="preserve">The Contracts and Compliance Lead carries out spot checks each month. A spot check may include a sample of sharing links, a sample of file names and labels, and a review of the access review results.</w:t>
      </w:r>
    </w:p>
    <w:p>
      <w:pPr>
        <w:spacing w:after="160" w:line="300"/>
      </w:pPr>
      <w:r>
        <w:t xml:space="preserve">This standard is reviewed annually. The next scheduled review is August 2027.</w:t>
      </w:r>
    </w:p>
    <w:p>
      <w:r>
        <w:br w:type="page"/>
      </w:r>
    </w:p>
    <w:p>
      <w:pPr>
        <w:pStyle w:val="Heading1"/>
      </w:pPr>
      <w:r>
        <w:t xml:space="preserve">Appendix A. Quick Reference</w:t>
      </w:r>
    </w:p>
    <w:p>
      <w:pPr>
        <w:spacing w:after="160" w:line="300"/>
      </w:pPr>
      <w:r>
        <w:t xml:space="preserve">The Service Desk uses this table to answer the most common questions. If this table and the body of the standard appear to disagree, tell the Contracts and Compliance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Topic</w:t>
            </w:r>
          </w:p>
        </w:tc>
        <w:tc>
          <w:tcPr>
            <w:tcW w:type="dxa" w:w="41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Rule</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Access request turnaround after approval</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2 business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Approval to share outside the program</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External sharing link expiry</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30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Guest accounts for the Port Authority</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Guest accounts for each submitting team</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5</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Inactive guest account removal</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60 days without a sign-in</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Laptop screen lock</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15 minutes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Field tablet screen lock</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10 minutes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Field tablet offline sync deadline</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72 hours after capture</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Move a shared draft from OneDrive to the program site</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Within 5 business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Record a chat decision in the decision log</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Within 2 business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Report a suspected data incident</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Within 4 hours of discovery</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Record retention after program closeout</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3 years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Maximum length of an exception</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90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Review cycle for this standard</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Annual</w:t>
            </w:r>
          </w:p>
        </w:tc>
      </w:tr>
    </w:tbl>
    <w:p>
      <w:pPr>
        <w:pStyle w:val="Heading1"/>
      </w:pPr>
      <w:r>
        <w:t xml:space="preserve">Appendix B. Access Request Checklist</w:t>
      </w:r>
    </w:p>
    <w:p>
      <w:pPr>
        <w:spacing w:after="160" w:line="300"/>
      </w:pPr>
      <w:r>
        <w:t xml:space="preserve">Sponsors use this checklist before submitting a Program Access Request.</w:t>
      </w:r>
    </w:p>
    <w:p>
      <w:pPr>
        <w:pStyle w:val="ListParagraph"/>
        <w:numPr>
          <w:ilvl w:val="0"/>
          <w:numId w:val="4"/>
        </w:numPr>
        <w:spacing w:after="90" w:line="290"/>
      </w:pPr>
      <w:r>
        <w:t xml:space="preserve">Confirm the person's role and the workstream they will join.</w:t>
      </w:r>
    </w:p>
    <w:p>
      <w:pPr>
        <w:pStyle w:val="ListParagraph"/>
        <w:numPr>
          <w:ilvl w:val="0"/>
          <w:numId w:val="4"/>
        </w:numPr>
        <w:spacing w:after="90" w:line="290"/>
      </w:pPr>
      <w:r>
        <w:t xml:space="preserve">Confirm that the person has completed the 30-minute handling briefing and note the completion date.</w:t>
      </w:r>
    </w:p>
    <w:p>
      <w:pPr>
        <w:pStyle w:val="ListParagraph"/>
        <w:numPr>
          <w:ilvl w:val="0"/>
          <w:numId w:val="4"/>
        </w:numPr>
        <w:spacing w:after="90" w:line="290"/>
      </w:pPr>
      <w:r>
        <w:t xml:space="preserve">Choose the smallest set of security groups that lets the person do their work.</w:t>
      </w:r>
    </w:p>
    <w:p>
      <w:pPr>
        <w:pStyle w:val="ListParagraph"/>
        <w:numPr>
          <w:ilvl w:val="0"/>
          <w:numId w:val="4"/>
        </w:numPr>
        <w:spacing w:after="90" w:line="290"/>
      </w:pPr>
      <w:r>
        <w:t xml:space="preserve">For the Approach Evaluation library, confirm that the person has been named to the evaluation panel by the Program Manager.</w:t>
      </w:r>
    </w:p>
    <w:p>
      <w:pPr>
        <w:pStyle w:val="ListParagraph"/>
        <w:numPr>
          <w:ilvl w:val="0"/>
          <w:numId w:val="4"/>
        </w:numPr>
        <w:spacing w:after="90" w:line="290"/>
      </w:pPr>
      <w:r>
        <w:t xml:space="preserve">For guest users, confirm the sponsoring organization and check the guest account limit in Appendix A.</w:t>
      </w:r>
    </w:p>
    <w:p>
      <w:pPr>
        <w:pStyle w:val="ListParagraph"/>
        <w:numPr>
          <w:ilvl w:val="0"/>
          <w:numId w:val="4"/>
        </w:numPr>
        <w:spacing w:after="90" w:line="290"/>
      </w:pPr>
      <w:r>
        <w:t xml:space="preserve">State an end date for the access if the person is joining for a fixed period.</w:t>
      </w:r>
    </w:p>
    <w:p>
      <w:pPr>
        <w:pStyle w:val="ListParagraph"/>
        <w:numPr>
          <w:ilvl w:val="0"/>
          <w:numId w:val="4"/>
        </w:numPr>
        <w:spacing w:after="90" w:line="290"/>
      </w:pPr>
      <w:r>
        <w:t xml:space="preserve">Submit the form through the Service Desk portal and attach any supporting approval.</w:t>
      </w:r>
    </w:p>
    <w:p>
      <w:pPr>
        <w:pStyle w:val="ListParagraph"/>
        <w:numPr>
          <w:ilvl w:val="0"/>
          <w:numId w:val="4"/>
        </w:numPr>
        <w:spacing w:after="90" w:line="290"/>
      </w:pPr>
      <w:r>
        <w:t xml:space="preserve">After access is granted, walk the new user through Section 3 so they know where to store their work.</w:t>
      </w:r>
    </w:p>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Term</w:t>
            </w:r>
          </w:p>
        </w:tc>
        <w:tc>
          <w:tcPr>
            <w:tcW w:type="dxa" w:w="69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Meaning in this standard</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collaboration site that holds all Harbor Point libraries.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Workstream</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One of the five areas of program work listed in Section 4.</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Sponsor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person who confirms that a team member or guest needs access and who reports when they no longer need it.</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Evaluation panel</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group named by the Program Manager to assess the four technical approaches.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Submitting team</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One of the four organizations that submitted a technical approach.</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Guest user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 person outside the program team who has been given limited access to the program site.</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Closeout</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date on which the Port Authority accepts the final deliverable and the program formally ends.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Sharing log</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register of approved external sharing links maintained by the Contracts and Compliance Lead.</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Exceptions register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record of approved departures from this standard, each with a purpose and an end date.</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470"/>
        <w:sz w:val="16"/>
        <w:szCs w:val="16"/>
      </w:rPr>
      <w:t xml:space="preserve">Synthetic training document. All names, organizations, and data are fictional.</w:t>
    </w:r>
    <w:r>
      <w:rPr>
        <w:color w:val="5A64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HP-PMO-STD-003   |   Program Collaboration and Data Handling Standard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20" w:before="220"/>
      <w:outlineLvl w:val="1"/>
    </w:pPr>
    <w:rPr>
      <w:rFonts w:ascii="Arial" w:cs="Arial" w:eastAsia="Arial" w:hAnsi="Arial"/>
      <w:b/>
      <w:bCs/>
      <w:color w:val="2A7F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Point Program Collaboration and Data Handling Standard v1.0</dc:title>
  <dc:creator>Harbor Point Program Office</dc:creator>
  <cp:lastModifiedBy>Un-named</cp:lastModifiedBy>
  <cp:revision>1</cp:revision>
  <dcterms:created xsi:type="dcterms:W3CDTF">2026-10-01T12:26:10.976Z</dcterms:created>
  <dcterms:modified xsi:type="dcterms:W3CDTF">2026-10-01T12:26:10.976Z</dcterms:modified>
</cp:coreProperties>
</file>

<file path=docProps/custom.xml><?xml version="1.0" encoding="utf-8"?>
<Properties xmlns="http://schemas.openxmlformats.org/officeDocument/2006/custom-properties" xmlns:vt="http://schemas.openxmlformats.org/officeDocument/2006/docPropsVTypes"/>
</file>