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color w:val="595959"/>
          <w:sz w:val="24"/>
          <w:szCs w:val="24"/>
        </w:rPr>
        <w:t xml:space="preserve">U.S. Government Publishing Office</w:t>
      </w:r>
    </w:p>
    <w:p>
      <w:pPr>
        <w:spacing w:after="600"/>
      </w:pPr>
      <w:r>
        <w:rPr>
          <w:rFonts w:ascii="Calibri" w:cs="Calibri" w:eastAsia="Calibri" w:hAnsi="Calibri"/>
          <w:color w:val="595959"/>
          <w:sz w:val="24"/>
          <w:szCs w:val="24"/>
        </w:rPr>
        <w:t xml:space="preserve">Publications Help Desk</w:t>
      </w:r>
    </w:p>
    <w:p>
      <w:pPr>
        <w:spacing w:after="200"/>
      </w:pPr>
      <w:r>
        <w:rPr>
          <w:rFonts w:ascii="Calibri" w:cs="Calibri" w:eastAsia="Calibri" w:hAnsi="Calibri"/>
          <w:b/>
          <w:bCs/>
          <w:color w:val="1F3864"/>
          <w:sz w:val="52"/>
          <w:szCs w:val="52"/>
        </w:rPr>
        <w:t xml:space="preserve">Publications Help Desk Operating Manual</w:t>
      </w:r>
    </w:p>
    <w:p>
      <w:pPr>
        <w:spacing w:after="800"/>
      </w:pPr>
      <w:r>
        <w:rPr>
          <w:rFonts w:ascii="Calibri" w:cs="Calibri" w:eastAsia="Calibri" w:hAnsi="Calibri"/>
          <w:color w:val="595959"/>
          <w:sz w:val="28"/>
          <w:szCs w:val="28"/>
        </w:rPr>
        <w:t xml:space="preserve">Service scope, hours, intake, priorities, and customer communication standards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ID</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GPO-PHD-001</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Version</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3.1</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Effective date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owner</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Marisol Grant, Supervisory Customer Services Specialist, Publications Help Desk</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 cycle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Annual, or upon policy change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Audience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Publications Help Desk staff, agency publishing liaisons, and GPO production teams</w:t>
            </w:r>
          </w:p>
        </w:tc>
      </w:tr>
    </w:tbl>
    <w:p>
      <w:pPr>
        <w:spacing w:after="300"/>
      </w:pPr>
      <w:r>
        <w:rPr>
          <w:rFonts w:ascii="Calibri" w:cs="Calibri" w:eastAsia="Calibri" w:hAnsi="Calibri"/>
          <w:sz w:val="22"/>
          <w:szCs w:val="22"/>
        </w:rPr>
        <w:t xml:space="preserve"/>
      </w:r>
    </w:p>
    <w:p>
      <w:pPr>
        <w:spacing w:after="0"/>
      </w:pPr>
      <w:r>
        <w:rPr>
          <w:rFonts w:ascii="Calibri" w:cs="Calibri" w:eastAsia="Calibri" w:hAnsi="Calibri"/>
          <w:i/>
          <w:iCs/>
          <w:color w:val="595959"/>
          <w:sz w:val="18"/>
          <w:szCs w:val="18"/>
        </w:rPr>
        <w:t xml:space="preserve">Training sample. All names, contact details, prices, timelines, and procedures in this document are fictional and were created for a Microsoft Copilot Studio demonstration. They do not represent actual GPO policy.</w:t>
      </w:r>
    </w:p>
    <w:p>
      <w:r>
        <w:br w:type="page"/>
      </w:r>
    </w:p>
    <w:p>
      <w:pPr>
        <w:spacing w:after="160"/>
      </w:pPr>
      <w:r>
        <w:rPr>
          <w:rFonts w:ascii="Calibri" w:cs="Calibri" w:eastAsia="Calibri" w:hAnsi="Calibri"/>
          <w:b/>
          <w:bCs/>
          <w:color w:val="1F3864"/>
          <w:sz w:val="28"/>
          <w:szCs w:val="28"/>
        </w:rPr>
        <w:t xml:space="preserve">Contents</w:t>
      </w:r>
    </w:p>
    <w:p>
      <w:pPr>
        <w:spacing w:after="90"/>
      </w:pPr>
      <w:r>
        <w:rPr>
          <w:rFonts w:ascii="Calibri" w:cs="Calibri" w:eastAsia="Calibri" w:hAnsi="Calibri"/>
          <w:sz w:val="22"/>
          <w:szCs w:val="22"/>
        </w:rPr>
        <w:t xml:space="preserve">Document Control</w:t>
      </w:r>
    </w:p>
    <w:p>
      <w:pPr>
        <w:spacing w:after="90"/>
      </w:pPr>
      <w:r>
        <w:rPr>
          <w:rFonts w:ascii="Calibri" w:cs="Calibri" w:eastAsia="Calibri" w:hAnsi="Calibri"/>
          <w:sz w:val="22"/>
          <w:szCs w:val="22"/>
        </w:rPr>
        <w:t xml:space="preserve">1. Purpose and Scope</w:t>
      </w:r>
    </w:p>
    <w:p>
      <w:pPr>
        <w:spacing w:after="90"/>
      </w:pPr>
      <w:r>
        <w:rPr>
          <w:rFonts w:ascii="Calibri" w:cs="Calibri" w:eastAsia="Calibri" w:hAnsi="Calibri"/>
          <w:sz w:val="22"/>
          <w:szCs w:val="22"/>
        </w:rPr>
        <w:t xml:space="preserve">2. About the Publications Help Desk</w:t>
      </w:r>
    </w:p>
    <w:p>
      <w:pPr>
        <w:spacing w:after="90"/>
      </w:pPr>
      <w:r>
        <w:rPr>
          <w:rFonts w:ascii="Calibri" w:cs="Calibri" w:eastAsia="Calibri" w:hAnsi="Calibri"/>
          <w:sz w:val="22"/>
          <w:szCs w:val="22"/>
        </w:rPr>
        <w:t xml:space="preserve">3. Hours and Contact Channels</w:t>
      </w:r>
    </w:p>
    <w:p>
      <w:pPr>
        <w:spacing w:after="90"/>
      </w:pPr>
      <w:r>
        <w:rPr>
          <w:rFonts w:ascii="Calibri" w:cs="Calibri" w:eastAsia="Calibri" w:hAnsi="Calibri"/>
          <w:sz w:val="22"/>
          <w:szCs w:val="22"/>
        </w:rPr>
        <w:t xml:space="preserve">4. Who the Help Desk Serves</w:t>
      </w:r>
    </w:p>
    <w:p>
      <w:pPr>
        <w:spacing w:after="90"/>
      </w:pPr>
      <w:r>
        <w:rPr>
          <w:rFonts w:ascii="Calibri" w:cs="Calibri" w:eastAsia="Calibri" w:hAnsi="Calibri"/>
          <w:sz w:val="22"/>
          <w:szCs w:val="22"/>
        </w:rPr>
        <w:t xml:space="preserve">5. Service Catalog Overview</w:t>
      </w:r>
    </w:p>
    <w:p>
      <w:pPr>
        <w:spacing w:after="90"/>
      </w:pPr>
      <w:r>
        <w:rPr>
          <w:rFonts w:ascii="Calibri" w:cs="Calibri" w:eastAsia="Calibri" w:hAnsi="Calibri"/>
          <w:sz w:val="22"/>
          <w:szCs w:val="22"/>
        </w:rPr>
        <w:t xml:space="preserve">6. Request Intake and Ticketing</w:t>
      </w:r>
    </w:p>
    <w:p>
      <w:pPr>
        <w:spacing w:after="90"/>
      </w:pPr>
      <w:r>
        <w:rPr>
          <w:rFonts w:ascii="Calibri" w:cs="Calibri" w:eastAsia="Calibri" w:hAnsi="Calibri"/>
          <w:sz w:val="22"/>
          <w:szCs w:val="22"/>
        </w:rPr>
        <w:t xml:space="preserve">7. Priority Levels and Response Targets</w:t>
      </w:r>
    </w:p>
    <w:p>
      <w:pPr>
        <w:spacing w:after="90"/>
      </w:pPr>
      <w:r>
        <w:rPr>
          <w:rFonts w:ascii="Calibri" w:cs="Calibri" w:eastAsia="Calibri" w:hAnsi="Calibri"/>
          <w:sz w:val="22"/>
          <w:szCs w:val="22"/>
        </w:rPr>
        <w:t xml:space="preserve">8. Escalation Overview</w:t>
      </w:r>
    </w:p>
    <w:p>
      <w:pPr>
        <w:spacing w:after="90"/>
      </w:pPr>
      <w:r>
        <w:rPr>
          <w:rFonts w:ascii="Calibri" w:cs="Calibri" w:eastAsia="Calibri" w:hAnsi="Calibri"/>
          <w:sz w:val="22"/>
          <w:szCs w:val="22"/>
        </w:rPr>
        <w:t xml:space="preserve">9. Roles and Responsibilities</w:t>
      </w:r>
    </w:p>
    <w:p>
      <w:pPr>
        <w:spacing w:after="90"/>
      </w:pPr>
      <w:r>
        <w:rPr>
          <w:rFonts w:ascii="Calibri" w:cs="Calibri" w:eastAsia="Calibri" w:hAnsi="Calibri"/>
          <w:sz w:val="22"/>
          <w:szCs w:val="22"/>
        </w:rPr>
        <w:t xml:space="preserve">10. Information Handling</w:t>
      </w:r>
    </w:p>
    <w:p>
      <w:pPr>
        <w:spacing w:after="90"/>
      </w:pPr>
      <w:r>
        <w:rPr>
          <w:rFonts w:ascii="Calibri" w:cs="Calibri" w:eastAsia="Calibri" w:hAnsi="Calibri"/>
          <w:sz w:val="22"/>
          <w:szCs w:val="22"/>
        </w:rPr>
        <w:t xml:space="preserve">11. Customer Communication Standards</w:t>
      </w:r>
    </w:p>
    <w:p>
      <w:pPr>
        <w:spacing w:after="90"/>
      </w:pPr>
      <w:r>
        <w:rPr>
          <w:rFonts w:ascii="Calibri" w:cs="Calibri" w:eastAsia="Calibri" w:hAnsi="Calibri"/>
          <w:sz w:val="22"/>
          <w:szCs w:val="22"/>
        </w:rPr>
        <w:t xml:space="preserve">12. Glossary</w:t>
      </w:r>
    </w:p>
    <w:p>
      <w:pPr>
        <w:spacing w:after="90"/>
      </w:pPr>
      <w:r>
        <w:rPr>
          <w:rFonts w:ascii="Calibri" w:cs="Calibri" w:eastAsia="Calibri" w:hAnsi="Calibri"/>
          <w:sz w:val="22"/>
          <w:szCs w:val="22"/>
        </w:rPr>
        <w:t xml:space="preserve">Appendix A: Intake Checklist for Specialists</w:t>
      </w:r>
    </w:p>
    <w:p>
      <w:pPr>
        <w:spacing w:after="90"/>
      </w:pPr>
      <w:r>
        <w:rPr>
          <w:rFonts w:ascii="Calibri" w:cs="Calibri" w:eastAsia="Calibri" w:hAnsi="Calibri"/>
          <w:sz w:val="22"/>
          <w:szCs w:val="22"/>
        </w:rPr>
        <w:t xml:space="preserve">Appendix B: Acknowledgment Templates</w:t>
      </w:r>
    </w:p>
    <w:p>
      <w:r>
        <w:br w:type="page"/>
      </w:r>
    </w:p>
    <w:p>
      <w:pPr>
        <w:pStyle w:val="Heading1"/>
        <w:keepNext/>
        <w:spacing w:after="160" w:before="320"/>
      </w:pPr>
      <w:r>
        <w:t xml:space="preserve">Document Control</w:t>
      </w:r>
    </w:p>
    <w:p>
      <w:pPr>
        <w:spacing w:after="140" w:line="276"/>
      </w:pPr>
      <w:r>
        <w:rPr>
          <w:rFonts w:ascii="Calibri" w:cs="Calibri" w:eastAsia="Calibri" w:hAnsi="Calibri"/>
          <w:sz w:val="22"/>
          <w:szCs w:val="22"/>
        </w:rPr>
        <w:t xml:space="preserve">This section records the revision history and the approval chain for this document. Changes to any procedural step, time target, fee, or contact require a new version number and approval by the document owner.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23"/>
        <w:gridCol w:w="1685"/>
        <w:gridCol w:w="2621"/>
        <w:gridCol w:w="3931"/>
      </w:tblGrid>
      <w:tr>
        <w:trPr>
          <w:tblHeader/>
        </w:trPr>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Version</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Date</w:t>
            </w:r>
          </w:p>
        </w:tc>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Author</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Summary of change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March 3, 2024</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Initial release of the consolidated operating manual</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February 18, 2025</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PHD Service Portal intake; retired email-only intake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2.4</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September 9, 2025</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Revised priority definitions; added P4 informational tier</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3.0</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April 14, 2026</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Aligned turnaround language with SOP GPO-PHD-002 v5</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3.1</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Updated hours, contact roster, and information handling rules</w:t>
            </w:r>
          </w:p>
        </w:tc>
      </w:tr>
    </w:tbl>
    <w:p>
      <w:pPr>
        <w:spacing w:after="120"/>
      </w:pPr>
      <w:r>
        <w:rPr>
          <w:rFonts w:ascii="Calibri" w:cs="Calibri" w:eastAsia="Calibri" w:hAnsi="Calibri"/>
          <w:sz w:val="22"/>
          <w:szCs w:val="22"/>
        </w:rPr>
        <w:t xml:space="preserve"/>
      </w:r>
    </w:p>
    <w:p>
      <w:pPr>
        <w:pStyle w:val="Heading1"/>
        <w:keepNext/>
        <w:spacing w:after="160" w:before="320"/>
      </w:pPr>
      <w:r>
        <w:t xml:space="preserve">1. Purpose and Scope</w:t>
      </w:r>
    </w:p>
    <w:p>
      <w:pPr>
        <w:spacing w:after="140" w:line="276"/>
      </w:pPr>
      <w:r>
        <w:rPr>
          <w:rFonts w:ascii="Calibri" w:cs="Calibri" w:eastAsia="Calibri" w:hAnsi="Calibri"/>
          <w:sz w:val="22"/>
          <w:szCs w:val="22"/>
        </w:rPr>
        <w:t xml:space="preserve">This manual defines how the Publications Help Desk (PHD) operates. It describes the services the help desk provides, the hours and channels through which customers reach the help desk, how requests are logged and prioritized, and the standards the team follows when communicating with customers. It is the top-level reference for the help desk. Where this manual and a more specific procedure conflict, the more specific procedure governs, and the conflict should be reported to the document owner so this manual can be corrected.</w:t>
      </w:r>
    </w:p>
    <w:p>
      <w:pPr>
        <w:spacing w:after="140" w:line="276"/>
      </w:pPr>
      <w:r>
        <w:rPr>
          <w:rFonts w:ascii="Calibri" w:cs="Calibri" w:eastAsia="Calibri" w:hAnsi="Calibri"/>
          <w:sz w:val="22"/>
          <w:szCs w:val="22"/>
        </w:rPr>
        <w:t xml:space="preserve">The manual applies to every request that reaches the help desk, regardless of channel. It applies to PHD staff, to agency publishing liaisons who submit requests, and to the GPO production and planning teams that fulfill those requests. It does not describe how production work is performed; that detail lives in the production teams' own procedures.</w:t>
      </w:r>
    </w:p>
    <w:p>
      <w:pPr>
        <w:spacing w:after="140" w:line="276"/>
      </w:pPr>
      <w:r>
        <w:rPr>
          <w:rFonts w:ascii="Calibri" w:cs="Calibri" w:eastAsia="Calibri" w:hAnsi="Calibri"/>
          <w:sz w:val="22"/>
          <w:szCs w:val="22"/>
        </w:rPr>
        <w:t xml:space="preserve">The following documents form the complete Publications Help Desk knowledge library. This manual is the entry point to that library.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3370"/>
        <w:gridCol w:w="4493"/>
      </w:tblGrid>
      <w:tr>
        <w:trPr>
          <w:tblHeader/>
        </w:trPr>
        <w:tc>
          <w:tcPr>
            <w:tcW w:type="dxa" w:w="149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Document ID</w:t>
            </w:r>
          </w:p>
        </w:tc>
        <w:tc>
          <w:tcPr>
            <w:tcW w:type="dxa" w:w="337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Title</w:t>
            </w:r>
          </w:p>
        </w:tc>
        <w:tc>
          <w:tcPr>
            <w:tcW w:type="dxa" w:w="449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What it covers</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GPO-PHD-001</w:t>
            </w:r>
          </w:p>
        </w:tc>
        <w:tc>
          <w:tcPr>
            <w:tcW w:type="dxa" w:w="337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Publications Help Desk Operating Manual</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This document: scope, hours, intake, priorities, communication standards</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GPO-PHD-002</w:t>
            </w:r>
          </w:p>
        </w:tc>
        <w:tc>
          <w:tcPr>
            <w:tcW w:type="dxa" w:w="337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Publishing Service Request Submission Procedure</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Step by step submission of a Publishing Service Request (PSR), required fields, proofs, turnaround</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GPO-PHD-003</w:t>
            </w:r>
          </w:p>
        </w:tc>
        <w:tc>
          <w:tcPr>
            <w:tcW w:type="dxa" w:w="337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508 Accessibility Checklist for Publications</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Accessibility requirements every publication must meet before release</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GPO-PHD-004</w:t>
            </w:r>
          </w:p>
        </w:tc>
        <w:tc>
          <w:tcPr>
            <w:tcW w:type="dxa" w:w="337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Frequently Asked Questions</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Short answers to the questions the help desk receives most often</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GPO-PHD-005</w:t>
            </w:r>
          </w:p>
        </w:tc>
        <w:tc>
          <w:tcPr>
            <w:tcW w:type="dxa" w:w="337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Service Level Agreement and Escalation Matrix</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Response and resolution targets, escalation tiers, and contacts</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GPO-PHD-006</w:t>
            </w:r>
          </w:p>
        </w:tc>
        <w:tc>
          <w:tcPr>
            <w:tcW w:type="dxa" w:w="337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Publishing Services Job Catalog and Fee Schedule</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Priced job configurations, fees, surcharges, paper stocks, turnaround matrix</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GPO-PHD-007</w:t>
            </w:r>
          </w:p>
        </w:tc>
        <w:tc>
          <w:tcPr>
            <w:tcW w:type="dxa" w:w="337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New Liaison Onboarding Briefing</w:t>
            </w:r>
          </w:p>
        </w:tc>
        <w:tc>
          <w:tcPr>
            <w:tcW w:type="dxa" w:w="449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Orientation deck for newly designated agency publishing liaisons</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GPO-PHD-008</w:t>
            </w:r>
          </w:p>
        </w:tc>
        <w:tc>
          <w:tcPr>
            <w:tcW w:type="dxa" w:w="337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Style Quick Reference</w:t>
            </w:r>
          </w:p>
        </w:tc>
        <w:tc>
          <w:tcPr>
            <w:tcW w:type="dxa" w:w="449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House style conventions for PHD produced documents, aligned to the GPO Style Manual</w:t>
            </w:r>
          </w:p>
        </w:tc>
      </w:tr>
    </w:tbl>
    <w:p>
      <w:pPr>
        <w:spacing w:after="120"/>
      </w:pPr>
      <w:r>
        <w:rPr>
          <w:rFonts w:ascii="Calibri" w:cs="Calibri" w:eastAsia="Calibri" w:hAnsi="Calibri"/>
          <w:sz w:val="22"/>
          <w:szCs w:val="22"/>
        </w:rPr>
        <w:t xml:space="preserve"/>
      </w:r>
    </w:p>
    <w:p>
      <w:pPr>
        <w:pStyle w:val="Heading1"/>
        <w:keepNext/>
        <w:spacing w:after="160" w:before="320"/>
      </w:pPr>
      <w:r>
        <w:t xml:space="preserve">2. About the Publications Help Desk</w:t>
      </w:r>
    </w:p>
    <w:p>
      <w:pPr>
        <w:pStyle w:val="Heading2"/>
        <w:keepNext/>
        <w:spacing w:after="120" w:before="240"/>
      </w:pPr>
      <w:r>
        <w:t xml:space="preserve">2.1 Mission</w:t>
      </w:r>
    </w:p>
    <w:p>
      <w:pPr>
        <w:spacing w:after="140" w:line="276"/>
      </w:pPr>
      <w:r>
        <w:rPr>
          <w:rFonts w:ascii="Calibri" w:cs="Calibri" w:eastAsia="Calibri" w:hAnsi="Calibri"/>
          <w:sz w:val="22"/>
          <w:szCs w:val="22"/>
        </w:rPr>
        <w:t xml:space="preserve">The Publications Help Desk is the single point of contact for agency publishing liaisons and GPO staff who need help planning, submitting, tracking, or troubleshooting a publishing job. The help desk exists so that a customer never has to know which production unit does what. Customers bring their question to the help desk; the help desk owns the question until it is answered or handed to the right team with a clear record.</w:t>
      </w:r>
    </w:p>
    <w:p>
      <w:pPr>
        <w:pStyle w:val="Heading2"/>
        <w:keepNext/>
        <w:spacing w:after="120" w:before="240"/>
      </w:pPr>
      <w:r>
        <w:t xml:space="preserve">2.2 What the help desk does</w:t>
      </w:r>
    </w:p>
    <w:p>
      <w:pPr>
        <w:pStyle w:val="ListParagraph"/>
        <w:numPr>
          <w:ilvl w:val="0"/>
          <w:numId w:val="2"/>
        </w:numPr>
        <w:spacing w:after="80" w:line="276"/>
      </w:pPr>
      <w:r>
        <w:rPr>
          <w:rFonts w:ascii="Calibri" w:cs="Calibri" w:eastAsia="Calibri" w:hAnsi="Calibri"/>
          <w:sz w:val="22"/>
          <w:szCs w:val="22"/>
        </w:rPr>
        <w:t xml:space="preserve">Answers questions about publishing services, turnaround times, fees, file requirements, accessibility requirements, and house style conventions.</w:t>
      </w:r>
    </w:p>
    <w:p>
      <w:pPr>
        <w:pStyle w:val="ListParagraph"/>
        <w:numPr>
          <w:ilvl w:val="0"/>
          <w:numId w:val="2"/>
        </w:numPr>
        <w:spacing w:after="80" w:line="276"/>
      </w:pPr>
      <w:r>
        <w:rPr>
          <w:rFonts w:ascii="Calibri" w:cs="Calibri" w:eastAsia="Calibri" w:hAnsi="Calibri"/>
          <w:sz w:val="22"/>
          <w:szCs w:val="22"/>
        </w:rPr>
        <w:t xml:space="preserve">Helps liaisons prepare a complete Publishing Service Request (PSR) and reviews submitted PSRs for completeness before they are routed to Production Planning.</w:t>
      </w:r>
    </w:p>
    <w:p>
      <w:pPr>
        <w:pStyle w:val="ListParagraph"/>
        <w:numPr>
          <w:ilvl w:val="0"/>
          <w:numId w:val="2"/>
        </w:numPr>
        <w:spacing w:after="80" w:line="276"/>
      </w:pPr>
      <w:r>
        <w:rPr>
          <w:rFonts w:ascii="Calibri" w:cs="Calibri" w:eastAsia="Calibri" w:hAnsi="Calibri"/>
          <w:sz w:val="22"/>
          <w:szCs w:val="22"/>
        </w:rPr>
        <w:t xml:space="preserve">Logs every request as a ticket in the PHD Service Portal and tracks it to closure.</w:t>
      </w:r>
    </w:p>
    <w:p>
      <w:pPr>
        <w:pStyle w:val="ListParagraph"/>
        <w:numPr>
          <w:ilvl w:val="0"/>
          <w:numId w:val="2"/>
        </w:numPr>
        <w:spacing w:after="80" w:line="276"/>
      </w:pPr>
      <w:r>
        <w:rPr>
          <w:rFonts w:ascii="Calibri" w:cs="Calibri" w:eastAsia="Calibri" w:hAnsi="Calibri"/>
          <w:sz w:val="22"/>
          <w:szCs w:val="22"/>
        </w:rPr>
        <w:t xml:space="preserve">Provides status updates on open tickets and on PSRs that are in planning, proofing, or production.</w:t>
      </w:r>
    </w:p>
    <w:p>
      <w:pPr>
        <w:pStyle w:val="ListParagraph"/>
        <w:numPr>
          <w:ilvl w:val="0"/>
          <w:numId w:val="2"/>
        </w:numPr>
        <w:spacing w:after="80" w:line="276"/>
      </w:pPr>
      <w:r>
        <w:rPr>
          <w:rFonts w:ascii="Calibri" w:cs="Calibri" w:eastAsia="Calibri" w:hAnsi="Calibri"/>
          <w:sz w:val="22"/>
          <w:szCs w:val="22"/>
        </w:rPr>
        <w:t xml:space="preserve">Escalates blocked or at-risk jobs according to the Service Level Agreement and Escalation Matrix (GPO-PHD-005).</w:t>
      </w:r>
    </w:p>
    <w:p>
      <w:pPr>
        <w:pStyle w:val="ListParagraph"/>
        <w:numPr>
          <w:ilvl w:val="0"/>
          <w:numId w:val="2"/>
        </w:numPr>
        <w:spacing w:after="80" w:line="276"/>
      </w:pPr>
      <w:r>
        <w:rPr>
          <w:rFonts w:ascii="Calibri" w:cs="Calibri" w:eastAsia="Calibri" w:hAnsi="Calibri"/>
          <w:sz w:val="22"/>
          <w:szCs w:val="22"/>
        </w:rPr>
        <w:t xml:space="preserve">Coordinates onboarding for newly designated agency publishing liaisons.</w:t>
      </w:r>
    </w:p>
    <w:p>
      <w:pPr>
        <w:pStyle w:val="Heading2"/>
        <w:keepNext/>
        <w:spacing w:after="120" w:before="240"/>
      </w:pPr>
      <w:r>
        <w:t xml:space="preserve">2.3 What the help desk does not do</w:t>
      </w:r>
    </w:p>
    <w:p>
      <w:pPr>
        <w:spacing w:after="140" w:line="276"/>
      </w:pPr>
      <w:r>
        <w:rPr>
          <w:rFonts w:ascii="Calibri" w:cs="Calibri" w:eastAsia="Calibri" w:hAnsi="Calibri"/>
          <w:sz w:val="22"/>
          <w:szCs w:val="22"/>
        </w:rPr>
        <w:t xml:space="preserve">Setting expectations about the limits of the help desk is as important as describing its services. The help desk does not:</w:t>
      </w:r>
    </w:p>
    <w:p>
      <w:pPr>
        <w:pStyle w:val="ListParagraph"/>
        <w:numPr>
          <w:ilvl w:val="0"/>
          <w:numId w:val="2"/>
        </w:numPr>
        <w:spacing w:after="80" w:line="276"/>
      </w:pPr>
      <w:r>
        <w:rPr>
          <w:rFonts w:ascii="Calibri" w:cs="Calibri" w:eastAsia="Calibri" w:hAnsi="Calibri"/>
          <w:sz w:val="22"/>
          <w:szCs w:val="22"/>
        </w:rPr>
        <w:t xml:space="preserve">Provide legal advice or interpret statutes, regulations, or contract terms. Questions of that kind are referred to the requesting agency's counsel or to GPO's Office of the General Counsel.</w:t>
      </w:r>
    </w:p>
    <w:p>
      <w:pPr>
        <w:pStyle w:val="ListParagraph"/>
        <w:numPr>
          <w:ilvl w:val="0"/>
          <w:numId w:val="2"/>
        </w:numPr>
        <w:spacing w:after="80" w:line="276"/>
      </w:pPr>
      <w:r>
        <w:rPr>
          <w:rFonts w:ascii="Calibri" w:cs="Calibri" w:eastAsia="Calibri" w:hAnsi="Calibri"/>
          <w:sz w:val="22"/>
          <w:szCs w:val="22"/>
        </w:rPr>
        <w:t xml:space="preserve">Negotiate prices or offer discounts. Prices come from the Job Catalog and Fee Schedule (GPO-PHD-006) and from the cost estimate that Production Planning issues for each PSR.</w:t>
      </w:r>
    </w:p>
    <w:p>
      <w:pPr>
        <w:pStyle w:val="ListParagraph"/>
        <w:numPr>
          <w:ilvl w:val="0"/>
          <w:numId w:val="2"/>
        </w:numPr>
        <w:spacing w:after="80" w:line="276"/>
      </w:pPr>
      <w:r>
        <w:rPr>
          <w:rFonts w:ascii="Calibri" w:cs="Calibri" w:eastAsia="Calibri" w:hAnsi="Calibri"/>
          <w:sz w:val="22"/>
          <w:szCs w:val="22"/>
        </w:rPr>
        <w:t xml:space="preserve">Perform editorial, design, or accessibility remediation work directly. Those are ordered services; the help desk explains how to request them.</w:t>
      </w:r>
    </w:p>
    <w:p>
      <w:pPr>
        <w:pStyle w:val="ListParagraph"/>
        <w:numPr>
          <w:ilvl w:val="0"/>
          <w:numId w:val="2"/>
        </w:numPr>
        <w:spacing w:after="80" w:line="276"/>
      </w:pPr>
      <w:r>
        <w:rPr>
          <w:rFonts w:ascii="Calibri" w:cs="Calibri" w:eastAsia="Calibri" w:hAnsi="Calibri"/>
          <w:sz w:val="22"/>
          <w:szCs w:val="22"/>
        </w:rPr>
        <w:t xml:space="preserve">Approve rush service on its own authority. Rush service is approved by Production Planning based on capacity.</w:t>
      </w:r>
    </w:p>
    <w:p>
      <w:pPr>
        <w:pStyle w:val="ListParagraph"/>
        <w:numPr>
          <w:ilvl w:val="0"/>
          <w:numId w:val="2"/>
        </w:numPr>
        <w:spacing w:after="80" w:line="276"/>
      </w:pPr>
      <w:r>
        <w:rPr>
          <w:rFonts w:ascii="Calibri" w:cs="Calibri" w:eastAsia="Calibri" w:hAnsi="Calibri"/>
          <w:sz w:val="22"/>
          <w:szCs w:val="22"/>
        </w:rPr>
        <w:t xml:space="preserve">Accept or store security classified material or material marked Controlled Unclassified Information (CUI) through the PHD Service Portal or the help desk mailbox.</w:t>
      </w:r>
    </w:p>
    <w:p>
      <w:pPr>
        <w:pStyle w:val="ListParagraph"/>
        <w:numPr>
          <w:ilvl w:val="0"/>
          <w:numId w:val="2"/>
        </w:numPr>
        <w:spacing w:after="80" w:line="276"/>
      </w:pPr>
      <w:r>
        <w:rPr>
          <w:rFonts w:ascii="Calibri" w:cs="Calibri" w:eastAsia="Calibri" w:hAnsi="Calibri"/>
          <w:sz w:val="22"/>
          <w:szCs w:val="22"/>
        </w:rPr>
        <w:t xml:space="preserve">Discuss personnel matters, individual staff performance, or the internal schedules of other GPO units.</w:t>
      </w:r>
    </w:p>
    <w:p>
      <w:pPr>
        <w:pStyle w:val="Heading1"/>
        <w:keepNext/>
        <w:spacing w:after="160" w:before="320"/>
      </w:pPr>
      <w:r>
        <w:t xml:space="preserve">3. Hours and Contact Channels</w:t>
      </w:r>
    </w:p>
    <w:p>
      <w:pPr>
        <w:pStyle w:val="Heading2"/>
        <w:keepNext/>
        <w:spacing w:after="120" w:before="240"/>
      </w:pPr>
      <w:r>
        <w:t xml:space="preserve">3.1 Hours of operation</w:t>
      </w:r>
    </w:p>
    <w:p>
      <w:pPr>
        <w:spacing w:after="140" w:line="276"/>
      </w:pPr>
      <w:r>
        <w:rPr>
          <w:rFonts w:ascii="Calibri" w:cs="Calibri" w:eastAsia="Calibri" w:hAnsi="Calibri"/>
          <w:sz w:val="22"/>
          <w:szCs w:val="22"/>
        </w:rPr>
        <w:t xml:space="preserve">The help desk is staffed Monday through Friday from 7:30 a.m. to 5:00 p.m. Eastern Time, excluding Federal holidays. Requests received outside these hours are logged automatically by the PHD Service Portal and are acknowledged on the next business day. There is no after-hours or weekend coverage. A customer with a Priority 1 situation outside staffed hours should follow the after-hours procedure in the Service Level Agreement and Escalation Matrix (GPO-PHD-005).</w:t>
      </w:r>
    </w:p>
    <w:p>
      <w:pPr>
        <w:pStyle w:val="Heading2"/>
        <w:keepNext/>
        <w:spacing w:after="120" w:before="240"/>
      </w:pPr>
      <w:r>
        <w:t xml:space="preserve">3.2 Channels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557"/>
        <w:gridCol w:w="3744"/>
      </w:tblGrid>
      <w:tr>
        <w:trPr>
          <w:tblHeader/>
        </w:trPr>
        <w:tc>
          <w:tcPr>
            <w:tcW w:type="dxa" w:w="205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Channel</w:t>
            </w:r>
          </w:p>
        </w:tc>
        <w:tc>
          <w:tcPr>
            <w:tcW w:type="dxa" w:w="3557"/>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Address or location</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Best for</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PHD Service Portal</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Internal portal, linked from the GPO intranet home page under Customer Services</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All new requests. This is the preferred channel and the only channel that creates a ticket automatically.</w:t>
            </w:r>
          </w:p>
        </w:tc>
      </w:tr>
      <w:tr>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mailbox</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pubhelpdesk@gpo.gov</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Questions that do not require a ticket, and attachments that exceed the portal size limit of 100 MB.</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Telephone</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(202) 555-0147</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Urgent Priority 1 situations during staffed hours, and callers who cannot reach the portal.</w:t>
            </w:r>
          </w:p>
        </w:tc>
      </w:tr>
      <w:tr>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Microsoft Teams</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Team: Publications Help Desk, channel: Liaison Questions</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Quick clarifying questions from designated liaisons. Not for new requests.</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Walk up</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Customer Services counter, North Capitol Street building, Room 2A-114</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drop off by appointment.</w:t>
            </w:r>
          </w:p>
        </w:tc>
      </w:tr>
    </w:tbl>
    <w:p>
      <w:pPr>
        <w:spacing w:after="120"/>
      </w:pPr>
      <w:r>
        <w:rPr>
          <w:rFonts w:ascii="Calibri" w:cs="Calibri" w:eastAsia="Calibri" w:hAnsi="Calibri"/>
          <w:sz w:val="22"/>
          <w:szCs w:val="22"/>
        </w:rPr>
        <w:t xml:space="preserve"/>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Portal first</w:t>
            </w:r>
          </w:p>
          <w:p>
            <w:pPr>
              <w:spacing w:after="60" w:line="260"/>
            </w:pPr>
            <w:r>
              <w:rPr>
                <w:rFonts w:ascii="Calibri" w:cs="Calibri" w:eastAsia="Calibri" w:hAnsi="Calibri"/>
                <w:sz w:val="21"/>
                <w:szCs w:val="21"/>
              </w:rPr>
              <w:t xml:space="preserve">Every request that requires action must exist as a ticket in the PHD Service Portal. When a request arrives by telephone, mailbox, or Teams, the help desk specialist who receives it creates the ticket on the customer's behalf and sends the ticket number to the customer before doing anything else.</w:t>
            </w:r>
          </w:p>
        </w:tc>
      </w:tr>
    </w:tbl>
    <w:p>
      <w:pPr>
        <w:spacing w:after="120"/>
      </w:pPr>
      <w:r>
        <w:rPr>
          <w:rFonts w:ascii="Calibri" w:cs="Calibri" w:eastAsia="Calibri" w:hAnsi="Calibri"/>
          <w:sz w:val="22"/>
          <w:szCs w:val="22"/>
        </w:rPr>
        <w:t xml:space="preserve"/>
      </w:r>
    </w:p>
    <w:p>
      <w:pPr>
        <w:pStyle w:val="Heading1"/>
        <w:keepNext/>
        <w:spacing w:after="160" w:before="320"/>
      </w:pPr>
      <w:r>
        <w:t xml:space="preserve">4. Who the Help Desk Serves</w:t>
      </w:r>
    </w:p>
    <w:p>
      <w:pPr>
        <w:pStyle w:val="Heading2"/>
        <w:keepNext/>
        <w:spacing w:after="120" w:before="240"/>
      </w:pPr>
      <w:r>
        <w:t xml:space="preserve">4.1 Agency publishing liaisons</w:t>
      </w:r>
    </w:p>
    <w:p>
      <w:pPr>
        <w:spacing w:after="140" w:line="276"/>
      </w:pPr>
      <w:r>
        <w:rPr>
          <w:rFonts w:ascii="Calibri" w:cs="Calibri" w:eastAsia="Calibri" w:hAnsi="Calibri"/>
          <w:sz w:val="22"/>
          <w:szCs w:val="22"/>
        </w:rPr>
        <w:t xml:space="preserve">Each customer agency designates one or more publishing liaisons. A liaison is the person authorized to submit PSRs on behalf of the agency, approve proofs, and accept charges against the agency billing code. Liaisons are designated in writing by the agency's publishing officer. Only designated liaisons receive PHD Service Portal accounts. The onboarding process for a new liaison is described in the New Liaison Onboarding Briefing (GPO-PHD-007).</w:t>
      </w:r>
    </w:p>
    <w:p>
      <w:pPr>
        <w:pStyle w:val="Heading2"/>
        <w:keepNext/>
        <w:spacing w:after="120" w:before="240"/>
      </w:pPr>
      <w:r>
        <w:t xml:space="preserve">4.2 GPO internal customers</w:t>
      </w:r>
    </w:p>
    <w:p>
      <w:pPr>
        <w:spacing w:after="140" w:line="276"/>
      </w:pPr>
      <w:r>
        <w:rPr>
          <w:rFonts w:ascii="Calibri" w:cs="Calibri" w:eastAsia="Calibri" w:hAnsi="Calibri"/>
          <w:sz w:val="22"/>
          <w:szCs w:val="22"/>
        </w:rPr>
        <w:t xml:space="preserve">GPO offices that produce their own publications, including internal forms, employee communications, and training materials, use the help desk in the same way that external agencies do. Internal customers are identified in the portal by their cost center rather than an agency billing code.</w:t>
      </w:r>
    </w:p>
    <w:p>
      <w:pPr>
        <w:pStyle w:val="Heading2"/>
        <w:keepNext/>
        <w:spacing w:after="120" w:before="240"/>
      </w:pPr>
      <w:r>
        <w:t xml:space="preserve">4.3 Members of the public</w:t>
      </w:r>
    </w:p>
    <w:p>
      <w:pPr>
        <w:spacing w:after="140" w:line="276"/>
      </w:pPr>
      <w:r>
        <w:rPr>
          <w:rFonts w:ascii="Calibri" w:cs="Calibri" w:eastAsia="Calibri" w:hAnsi="Calibri"/>
          <w:sz w:val="22"/>
          <w:szCs w:val="22"/>
        </w:rPr>
        <w:t xml:space="preserve">The help desk does not serve members of the public. Public inquiries about purchasing Government publications are referred to the U.S. Government Bookstore, and inquiries about locating Government documents are referred to the Federal Depository Library Program. The help desk specialist provides the referral courteously and closes the ticket as Referred.</w:t>
      </w:r>
    </w:p>
    <w:p>
      <w:pPr>
        <w:pStyle w:val="Heading1"/>
        <w:keepNext/>
        <w:spacing w:after="160" w:before="320"/>
      </w:pPr>
      <w:r>
        <w:t xml:space="preserve">5. Service Catalog Overview</w:t>
      </w:r>
    </w:p>
    <w:p>
      <w:pPr>
        <w:spacing w:after="140" w:line="276"/>
      </w:pPr>
      <w:r>
        <w:rPr>
          <w:rFonts w:ascii="Calibri" w:cs="Calibri" w:eastAsia="Calibri" w:hAnsi="Calibri"/>
          <w:sz w:val="22"/>
          <w:szCs w:val="22"/>
        </w:rPr>
        <w:t xml:space="preserve">The help desk coordinates the following product families. Each family has priced job configurations in the Job Catalog (GPO-PHD-006) and a standard turnaround in the Turnaround Matrix in that same workbook.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34"/>
        <w:gridCol w:w="4680"/>
        <w:gridCol w:w="2246"/>
      </w:tblGrid>
      <w:tr>
        <w:trPr>
          <w:tblHeader/>
        </w:trPr>
        <w:tc>
          <w:tcPr>
            <w:tcW w:type="dxa" w:w="243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Product family</w:t>
            </w:r>
          </w:p>
        </w:tc>
        <w:tc>
          <w:tcPr>
            <w:tcW w:type="dxa" w:w="468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Examples</w:t>
            </w:r>
          </w:p>
        </w:tc>
        <w:tc>
          <w:tcPr>
            <w:tcW w:type="dxa" w:w="224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Typical service code</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Booklets and Pamphlets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Saddle-stitched booklets, folded pamphlets, program booklets</w:t>
            </w:r>
          </w:p>
        </w:tc>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 (Offset printing)</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Reports and Manuals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Perfect bound reports, coil and wire-o manuals, drilled loose leaf sets</w:t>
            </w:r>
          </w:p>
        </w:tc>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Single sheet forms, carbonless multipart forms, padded forms</w:t>
            </w:r>
          </w:p>
        </w:tc>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Brochures and Flyers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Tri-fold and bi-fold brochures, flyers, rack cards</w:t>
            </w:r>
          </w:p>
        </w:tc>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DP (Digital printing)</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Posters and Signage</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Posters, mounted signs, vinyl banners, easel displays</w:t>
            </w:r>
          </w:p>
        </w:tc>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LF (Large format)</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Stationery and Envelopes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Letterhead, envelopes, notepads, memo pads</w:t>
            </w:r>
          </w:p>
        </w:tc>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Cards and Postcards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Business cards, postcards, table tents, bookmarks</w:t>
            </w:r>
          </w:p>
        </w:tc>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DP</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Labels and Decals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Roll and sheet labels, vehicle and window decals</w:t>
            </w:r>
          </w:p>
        </w:tc>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SP (Specialty)</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Tabs and Dividers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Reinforced tab divider sets</w:t>
            </w:r>
          </w:p>
        </w:tc>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BD (Binding and finishing)</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Digital Only Publications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Tagged PDF, EPUB, PDF/A, HTML publication packages</w:t>
            </w:r>
          </w:p>
        </w:tc>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 (Digital publishing intake)</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Newsletters and Bulletins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Self mailing newsletters, folded bulletins, tabloids</w:t>
            </w:r>
          </w:p>
        </w:tc>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Binders and Kits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Custom cover binders, assembled training kits, pocket folders</w:t>
            </w:r>
          </w:p>
        </w:tc>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SP</w:t>
            </w:r>
          </w:p>
        </w:tc>
      </w:tr>
    </w:tbl>
    <w:p>
      <w:pPr>
        <w:spacing w:after="12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Requests for products outside these families are logged as Specialty and reviewed by Production Planning, which will either quote the job through a vendor or advise that the product cannot be produced.</w:t>
      </w:r>
    </w:p>
    <w:p>
      <w:pPr>
        <w:pStyle w:val="Heading1"/>
        <w:keepNext/>
        <w:spacing w:after="160" w:before="320"/>
      </w:pPr>
      <w:r>
        <w:t xml:space="preserve">6. Request Intake and Ticketing</w:t>
      </w:r>
    </w:p>
    <w:p>
      <w:pPr>
        <w:pStyle w:val="Heading2"/>
        <w:keepNext/>
        <w:spacing w:after="120" w:before="240"/>
      </w:pPr>
      <w:r>
        <w:t xml:space="preserve">6.1 Ticket identifiers</w:t>
      </w:r>
    </w:p>
    <w:p>
      <w:pPr>
        <w:spacing w:after="140" w:line="276"/>
      </w:pPr>
      <w:r>
        <w:rPr>
          <w:rFonts w:ascii="Calibri" w:cs="Calibri" w:eastAsia="Calibri" w:hAnsi="Calibri"/>
          <w:sz w:val="22"/>
          <w:szCs w:val="22"/>
        </w:rPr>
        <w:t xml:space="preserve">Every request is assigned a ticket number in the format PHD-YYYY-NNNNNN, for example PHD-2026-014882. The ticket number is the key to all later communication. Customers should quote it in every follow up. Publishing Service Requests carry a separate PSR number in the format PSR-YY-NNNNN, for example PSR-26-03117; a ticket may reference one or more PSRs.</w:t>
      </w:r>
    </w:p>
    <w:p>
      <w:pPr>
        <w:pStyle w:val="Heading2"/>
        <w:keepNext/>
        <w:spacing w:after="120" w:before="240"/>
      </w:pPr>
      <w:r>
        <w:t xml:space="preserve">6.2 Ticket categories</w:t>
      </w:r>
    </w:p>
    <w:p>
      <w:pPr>
        <w:spacing w:after="140" w:line="276"/>
      </w:pPr>
      <w:r>
        <w:rPr>
          <w:rFonts w:ascii="Calibri" w:cs="Calibri" w:eastAsia="Calibri" w:hAnsi="Calibri"/>
          <w:sz w:val="22"/>
          <w:szCs w:val="22"/>
        </w:rPr>
        <w:t xml:space="preserve">Help desk specialists assign one category to each ticket at creation. The category drives routing and reporting.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46"/>
        <w:gridCol w:w="5242"/>
        <w:gridCol w:w="1872"/>
      </w:tblGrid>
      <w:tr>
        <w:trPr>
          <w:tblHeader/>
        </w:trPr>
        <w:tc>
          <w:tcPr>
            <w:tcW w:type="dxa" w:w="224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Category</w:t>
            </w:r>
          </w:p>
        </w:tc>
        <w:tc>
          <w:tcPr>
            <w:tcW w:type="dxa" w:w="524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Use when the customer</w:t>
            </w:r>
          </w:p>
        </w:tc>
        <w:tc>
          <w:tcPr>
            <w:tcW w:type="dxa" w:w="187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Default priority</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Service question</w:t>
            </w:r>
          </w:p>
        </w:tc>
        <w:tc>
          <w:tcPr>
            <w:tcW w:type="dxa" w:w="524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Asks how a service works, what it costs, or how long it takes</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P3</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PSR assistance</w:t>
            </w:r>
          </w:p>
        </w:tc>
        <w:tc>
          <w:tcPr>
            <w:tcW w:type="dxa" w:w="524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Needs help completing or correcting a PSR</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P3</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Status inquiry</w:t>
            </w:r>
          </w:p>
        </w:tc>
        <w:tc>
          <w:tcPr>
            <w:tcW w:type="dxa" w:w="524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Asks where an open PSR or ticket stands</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P3</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Production issue</w:t>
            </w:r>
          </w:p>
        </w:tc>
        <w:tc>
          <w:tcPr>
            <w:tcW w:type="dxa" w:w="524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Reports a defect, shortage, delay, or delivery problem on a job</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P2</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Deadline risk</w:t>
            </w:r>
          </w:p>
        </w:tc>
        <w:tc>
          <w:tcPr>
            <w:tcW w:type="dxa" w:w="524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Reports that a Congressional, statutory, or public commitment date is at risk</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P1</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Accessibility</w:t>
            </w:r>
          </w:p>
        </w:tc>
        <w:tc>
          <w:tcPr>
            <w:tcW w:type="dxa" w:w="524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Needs help meeting the Section 508 checklist or requests remediation</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P3</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Style and editorial</w:t>
            </w:r>
          </w:p>
        </w:tc>
        <w:tc>
          <w:tcPr>
            <w:tcW w:type="dxa" w:w="524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Asks about house style or editorial services</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P4</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Onboarding and access</w:t>
            </w:r>
          </w:p>
        </w:tc>
        <w:tc>
          <w:tcPr>
            <w:tcW w:type="dxa" w:w="524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Requests a portal account or liaison designation change</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P3</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Referral</w:t>
            </w:r>
          </w:p>
        </w:tc>
        <w:tc>
          <w:tcPr>
            <w:tcW w:type="dxa" w:w="524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 outside the scope of the help desk and needs to be pointed elsewhere</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P4</w:t>
            </w:r>
          </w:p>
        </w:tc>
      </w:tr>
    </w:tbl>
    <w:p>
      <w:pPr>
        <w:spacing w:after="120"/>
      </w:pPr>
      <w:r>
        <w:rPr>
          <w:rFonts w:ascii="Calibri" w:cs="Calibri" w:eastAsia="Calibri" w:hAnsi="Calibri"/>
          <w:sz w:val="22"/>
          <w:szCs w:val="22"/>
        </w:rPr>
        <w:t xml:space="preserve"/>
      </w:r>
    </w:p>
    <w:p>
      <w:pPr>
        <w:pStyle w:val="Heading2"/>
        <w:keepNext/>
        <w:spacing w:after="120" w:before="240"/>
      </w:pPr>
      <w:r>
        <w:t xml:space="preserve">6.3 Minimum information for a ticket</w:t>
      </w:r>
    </w:p>
    <w:p>
      <w:pPr>
        <w:spacing w:after="140" w:line="276"/>
      </w:pPr>
      <w:r>
        <w:rPr>
          <w:rFonts w:ascii="Calibri" w:cs="Calibri" w:eastAsia="Calibri" w:hAnsi="Calibri"/>
          <w:sz w:val="22"/>
          <w:szCs w:val="22"/>
        </w:rPr>
        <w:t xml:space="preserve">A ticket cannot be routed until it contains the following. The help desk specialist collects any missing item before the ticket leaves the Intake queue.</w:t>
      </w:r>
    </w:p>
    <w:p>
      <w:pPr>
        <w:pStyle w:val="ListParagraph"/>
        <w:numPr>
          <w:ilvl w:val="0"/>
          <w:numId w:val="3"/>
        </w:numPr>
        <w:spacing w:after="80" w:line="276"/>
      </w:pPr>
      <w:r>
        <w:rPr>
          <w:rFonts w:ascii="Calibri" w:cs="Calibri" w:eastAsia="Calibri" w:hAnsi="Calibri"/>
          <w:sz w:val="22"/>
          <w:szCs w:val="22"/>
        </w:rPr>
        <w:t xml:space="preserve">Customer name, agency or GPO office, and a telephone number or email address.</w:t>
      </w:r>
    </w:p>
    <w:p>
      <w:pPr>
        <w:pStyle w:val="ListParagraph"/>
        <w:numPr>
          <w:ilvl w:val="0"/>
          <w:numId w:val="3"/>
        </w:numPr>
        <w:spacing w:after="80" w:line="276"/>
      </w:pPr>
      <w:r>
        <w:rPr>
          <w:rFonts w:ascii="Calibri" w:cs="Calibri" w:eastAsia="Calibri" w:hAnsi="Calibri"/>
          <w:sz w:val="22"/>
          <w:szCs w:val="22"/>
        </w:rPr>
        <w:t xml:space="preserve">The PSR number, if the request concerns an existing PSR.</w:t>
      </w:r>
    </w:p>
    <w:p>
      <w:pPr>
        <w:pStyle w:val="ListParagraph"/>
        <w:numPr>
          <w:ilvl w:val="0"/>
          <w:numId w:val="3"/>
        </w:numPr>
        <w:spacing w:after="80" w:line="276"/>
      </w:pPr>
      <w:r>
        <w:rPr>
          <w:rFonts w:ascii="Calibri" w:cs="Calibri" w:eastAsia="Calibri" w:hAnsi="Calibri"/>
          <w:sz w:val="22"/>
          <w:szCs w:val="22"/>
        </w:rPr>
        <w:t xml:space="preserve">A one sentence description of the request in the customer's words.</w:t>
      </w:r>
    </w:p>
    <w:p>
      <w:pPr>
        <w:pStyle w:val="ListParagraph"/>
        <w:numPr>
          <w:ilvl w:val="0"/>
          <w:numId w:val="3"/>
        </w:numPr>
        <w:spacing w:after="80" w:line="276"/>
      </w:pPr>
      <w:r>
        <w:rPr>
          <w:rFonts w:ascii="Calibri" w:cs="Calibri" w:eastAsia="Calibri" w:hAnsi="Calibri"/>
          <w:sz w:val="22"/>
          <w:szCs w:val="22"/>
        </w:rPr>
        <w:t xml:space="preserve">The date by which the customer needs a resolution, if any, and the reason for that date.</w:t>
      </w:r>
    </w:p>
    <w:p>
      <w:pPr>
        <w:pStyle w:val="ListParagraph"/>
        <w:numPr>
          <w:ilvl w:val="0"/>
          <w:numId w:val="3"/>
        </w:numPr>
        <w:spacing w:after="80" w:line="276"/>
      </w:pPr>
      <w:r>
        <w:rPr>
          <w:rFonts w:ascii="Calibri" w:cs="Calibri" w:eastAsia="Calibri" w:hAnsi="Calibri"/>
          <w:sz w:val="22"/>
          <w:szCs w:val="22"/>
        </w:rPr>
        <w:t xml:space="preserve">Whether the request involves a deadline set by Congress, by statute, or by a public commitment.</w:t>
      </w:r>
    </w:p>
    <w:p>
      <w:pPr>
        <w:pStyle w:val="Heading1"/>
        <w:keepNext/>
        <w:spacing w:after="160" w:before="320"/>
      </w:pPr>
      <w:r>
        <w:t xml:space="preserve">7. Priority Levels and Response Targets</w:t>
      </w:r>
    </w:p>
    <w:p>
      <w:pPr>
        <w:spacing w:after="140" w:line="276"/>
      </w:pPr>
      <w:r>
        <w:rPr>
          <w:rFonts w:ascii="Calibri" w:cs="Calibri" w:eastAsia="Calibri" w:hAnsi="Calibri"/>
          <w:sz w:val="22"/>
          <w:szCs w:val="22"/>
        </w:rPr>
        <w:t xml:space="preserve">Priority is assigned by the help desk based on business impact, not on the customer's seniority or on how the request was phrased. The customer may ask for a priority to be reviewed; the reviewing specialist records the decision on the ticket.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4118"/>
        <w:gridCol w:w="1872"/>
        <w:gridCol w:w="1872"/>
      </w:tblGrid>
      <w:tr>
        <w:trPr>
          <w:tblHeader/>
        </w:trPr>
        <w:tc>
          <w:tcPr>
            <w:tcW w:type="dxa" w:w="149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Priority</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Definition</w:t>
            </w:r>
          </w:p>
        </w:tc>
        <w:tc>
          <w:tcPr>
            <w:tcW w:type="dxa" w:w="187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First response target</w:t>
            </w:r>
          </w:p>
        </w:tc>
        <w:tc>
          <w:tcPr>
            <w:tcW w:type="dxa" w:w="187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Resolution target</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P1 Critical</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Congressional, statutory, or public commitment date is at risk, or a job in production has stopped</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30 minutes during staffed hours</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4 business hours</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P2 High</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job is blocked and cannot proceed to the next stage without help desk action</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 business hours</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 business day</w:t>
            </w:r>
          </w:p>
        </w:tc>
      </w:tr>
      <w:tr>
        <w:tc>
          <w:tcPr>
            <w:tcW w:type="dxa" w:w="149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P3 Normal</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routine request that does not block work</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4 business hours</w:t>
            </w:r>
          </w:p>
        </w:tc>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 business days</w:t>
            </w:r>
          </w:p>
        </w:tc>
      </w:tr>
      <w:tr>
        <w:tc>
          <w:tcPr>
            <w:tcW w:type="dxa" w:w="149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P4 Low</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 informational question with no dependent work</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 business day</w:t>
            </w:r>
          </w:p>
        </w:tc>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5 business days</w:t>
            </w:r>
          </w:p>
        </w:tc>
      </w:tr>
    </w:tbl>
    <w:p>
      <w:pPr>
        <w:spacing w:after="12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Business hours are the staffed hours in Section 3.1. A response is a substantive reply from a named specialist, not the automated portal acknowledgment. Resolution means the customer has what they asked for, or has been told clearly why it cannot be provided and what the alternative is. Full definitions, measurement rules, and escalation paths are in the Service Level Agreement and Escalation Matrix (GPO-PHD-005).</w:t>
      </w:r>
    </w:p>
    <w:p>
      <w:pPr>
        <w:pStyle w:val="Heading1"/>
        <w:keepNext/>
        <w:spacing w:after="160" w:before="320"/>
      </w:pPr>
      <w:r>
        <w:t xml:space="preserve">8. Escalation Overview</w:t>
      </w:r>
    </w:p>
    <w:p>
      <w:pPr>
        <w:spacing w:after="140" w:line="276"/>
      </w:pPr>
      <w:r>
        <w:rPr>
          <w:rFonts w:ascii="Calibri" w:cs="Calibri" w:eastAsia="Calibri" w:hAnsi="Calibri"/>
          <w:sz w:val="22"/>
          <w:szCs w:val="22"/>
        </w:rPr>
        <w:t xml:space="preserve">Escalation exists to get a stuck request in front of someone who can unstick it. It is not a complaint process. The help desk uses three tiers.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10"/>
        <w:gridCol w:w="3370"/>
        <w:gridCol w:w="4680"/>
      </w:tblGrid>
      <w:tr>
        <w:trPr>
          <w:tblHeader/>
        </w:trPr>
        <w:tc>
          <w:tcPr>
            <w:tcW w:type="dxa" w:w="131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Tier</w:t>
            </w:r>
          </w:p>
        </w:tc>
        <w:tc>
          <w:tcPr>
            <w:tcW w:type="dxa" w:w="337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Who</w:t>
            </w:r>
          </w:p>
        </w:tc>
        <w:tc>
          <w:tcPr>
            <w:tcW w:type="dxa" w:w="468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When to escalate</w:t>
            </w:r>
          </w:p>
        </w:tc>
      </w:tr>
      <w:tr>
        <w:tc>
          <w:tcPr>
            <w:tcW w:type="dxa" w:w="131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Tier 1</w:t>
            </w:r>
          </w:p>
        </w:tc>
        <w:tc>
          <w:tcPr>
            <w:tcW w:type="dxa" w:w="337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specialist on duty</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All tickets start here</w:t>
            </w:r>
          </w:p>
        </w:tc>
      </w:tr>
      <w:tr>
        <w:tc>
          <w:tcPr>
            <w:tcW w:type="dxa" w:w="131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Tier 2</w:t>
            </w:r>
          </w:p>
        </w:tc>
        <w:tc>
          <w:tcPr>
            <w:tcW w:type="dxa" w:w="337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Devin Okafor, Production Planning Lead</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ticket is a production issue, a rush decision, a capacity question, or has missed its first response target</w:t>
            </w:r>
          </w:p>
        </w:tc>
      </w:tr>
      <w:tr>
        <w:tc>
          <w:tcPr>
            <w:tcW w:type="dxa" w:w="131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Tier 3</w:t>
            </w:r>
          </w:p>
        </w:tc>
        <w:tc>
          <w:tcPr>
            <w:tcW w:type="dxa" w:w="337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Priya Venkataraman, Deputy Director, Customer Services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P1 ticket has been open more than 2 business hours without a plan, or any ticket has missed its resolution target twice</w:t>
            </w:r>
          </w:p>
        </w:tc>
      </w:tr>
    </w:tbl>
    <w:p>
      <w:pPr>
        <w:spacing w:after="12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The detailed escalation procedure, including after-hours steps and the substitute roster, is in GPO-PHD-005.</w:t>
      </w:r>
    </w:p>
    <w:p>
      <w:pPr>
        <w:pStyle w:val="Heading1"/>
        <w:keepNext/>
        <w:spacing w:after="160" w:before="320"/>
      </w:pPr>
      <w:r>
        <w:t xml:space="preserve">9.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2059"/>
        <w:gridCol w:w="4680"/>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Role</w:t>
            </w:r>
          </w:p>
        </w:tc>
        <w:tc>
          <w:tcPr>
            <w:tcW w:type="dxa" w:w="205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Name</w:t>
            </w:r>
          </w:p>
        </w:tc>
        <w:tc>
          <w:tcPr>
            <w:tcW w:type="dxa" w:w="468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Responsibilities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supervisor</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Marisol Grant</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Owns this manual, staffs the queue, reviews priority disputes, reports monthly metrics</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specialists</w:t>
            </w:r>
          </w:p>
        </w:tc>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Team of five</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Intake, ticket ownership, first response, PSR completeness review, status updates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Production Planning Lead</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Devin Okafor</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Cost estimates, scheduling, rush approval, Tier 2 escalation</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Accessibility specialist</w:t>
            </w:r>
          </w:p>
        </w:tc>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Theo Lindqvist</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508 checklist questions, remediation estimates, conformance reports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Digital publishing intake coordinator</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Renee Castellanos</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Electronic publication intake, metadata review, file validation</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Editorial standards lead</w:t>
            </w:r>
          </w:p>
        </w:tc>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Harold Bemis</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Style Quick Reference, style conformance reviews, GPO Style Manual questions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Deputy Director, Customer Services</w:t>
            </w:r>
          </w:p>
        </w:tc>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Priya Venkataraman</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Tier 3 escalation, service level reporting, policy approval</w:t>
            </w:r>
          </w:p>
        </w:tc>
      </w:tr>
    </w:tbl>
    <w:p>
      <w:pPr>
        <w:spacing w:after="120"/>
      </w:pPr>
      <w:r>
        <w:rPr>
          <w:rFonts w:ascii="Calibri" w:cs="Calibri" w:eastAsia="Calibri" w:hAnsi="Calibri"/>
          <w:sz w:val="22"/>
          <w:szCs w:val="22"/>
        </w:rPr>
        <w:t xml:space="preserve"/>
      </w:r>
    </w:p>
    <w:p>
      <w:pPr>
        <w:pStyle w:val="Heading1"/>
        <w:keepNext/>
        <w:spacing w:after="160" w:before="320"/>
      </w:pPr>
      <w:r>
        <w:t xml:space="preserve">10. Information Handling</w:t>
      </w:r>
    </w:p>
    <w:p>
      <w:pPr>
        <w:pStyle w:val="Heading2"/>
        <w:keepNext/>
        <w:spacing w:after="120" w:before="240"/>
      </w:pPr>
      <w:r>
        <w:t xml:space="preserve">10.1 Personally identifiable information</w:t>
      </w:r>
    </w:p>
    <w:p>
      <w:pPr>
        <w:spacing w:after="140" w:line="276"/>
      </w:pPr>
      <w:r>
        <w:rPr>
          <w:rFonts w:ascii="Calibri" w:cs="Calibri" w:eastAsia="Calibri" w:hAnsi="Calibri"/>
          <w:sz w:val="22"/>
          <w:szCs w:val="22"/>
        </w:rPr>
        <w:t xml:space="preserve">Customers should not include personally identifiable information (PII) beyond business contact details in tickets, PSRs, or attachments. Social Security numbers, dates of birth, personal home addresses, and financial account numbers are never needed to fulfill a publishing request. If a specialist finds PII in a ticket, the specialist removes it, notes the removal on the ticket, and reminds the customer of this rule.</w:t>
      </w:r>
    </w:p>
    <w:p>
      <w:pPr>
        <w:pStyle w:val="Heading2"/>
        <w:keepNext/>
        <w:spacing w:after="120" w:before="240"/>
      </w:pPr>
      <w:r>
        <w:t xml:space="preserve">10.2 Controlled and classified material</w:t>
      </w:r>
    </w:p>
    <w:p>
      <w:pPr>
        <w:spacing w:after="140" w:line="276"/>
      </w:pPr>
      <w:r>
        <w:rPr>
          <w:rFonts w:ascii="Calibri" w:cs="Calibri" w:eastAsia="Calibri" w:hAnsi="Calibri"/>
          <w:sz w:val="22"/>
          <w:szCs w:val="22"/>
        </w:rPr>
        <w:t xml:space="preserve">The PHD Service Portal and the help desk mailbox are approved for unclassified, non-CUI content only. Material marked Controlled Unclassified Information is handled through the agency's designated CUI channel and coordinated directly with Production Planning by telephone. Security classified material is never accepted by the help desk under any circumstances; the customer is referred to GPO's Security and Intelligent Documents unit.</w:t>
      </w:r>
    </w:p>
    <w:p>
      <w:pPr>
        <w:pStyle w:val="Heading2"/>
        <w:keepNext/>
        <w:spacing w:after="120" w:before="240"/>
      </w:pPr>
      <w:r>
        <w:t xml:space="preserve">10.3 Pre-release and embargoed publications</w:t>
      </w:r>
    </w:p>
    <w:p>
      <w:pPr>
        <w:spacing w:after="140" w:line="276"/>
      </w:pPr>
      <w:r>
        <w:rPr>
          <w:rFonts w:ascii="Calibri" w:cs="Calibri" w:eastAsia="Calibri" w:hAnsi="Calibri"/>
          <w:sz w:val="22"/>
          <w:szCs w:val="22"/>
        </w:rPr>
        <w:t xml:space="preserve">Many publications are sensitive before their release date. Help desk staff do not discuss the content, title, or timing of an unreleased publication with anyone other than the designated liaison on that PSR.</w:t>
      </w:r>
    </w:p>
    <w:p>
      <w:pPr>
        <w:pStyle w:val="Heading1"/>
        <w:keepNext/>
        <w:spacing w:after="160" w:before="320"/>
      </w:pPr>
      <w:r>
        <w:t xml:space="preserve">11. Customer Communication Standards</w:t>
      </w:r>
    </w:p>
    <w:p>
      <w:pPr>
        <w:pStyle w:val="Heading2"/>
        <w:keepNext/>
        <w:spacing w:after="120" w:before="240"/>
      </w:pPr>
      <w:r>
        <w:t xml:space="preserve">11.1 Acknowledgment</w:t>
      </w:r>
    </w:p>
    <w:p>
      <w:pPr>
        <w:spacing w:after="140" w:line="276"/>
      </w:pPr>
      <w:r>
        <w:rPr>
          <w:rFonts w:ascii="Calibri" w:cs="Calibri" w:eastAsia="Calibri" w:hAnsi="Calibri"/>
          <w:sz w:val="22"/>
          <w:szCs w:val="22"/>
        </w:rPr>
        <w:t xml:space="preserve">Every ticket receives a personal acknowledgment from the assigned specialist within the first response target for its priority. The acknowledgment confirms the ticket number, restates the request in one sentence, states the priority assigned, and gives the next expected update time. Template wording is provided in Appendix B.</w:t>
      </w:r>
    </w:p>
    <w:p>
      <w:pPr>
        <w:pStyle w:val="Heading2"/>
        <w:keepNext/>
        <w:spacing w:after="120" w:before="240"/>
      </w:pPr>
      <w:r>
        <w:t xml:space="preserve">11.2 Status update cadence</w:t>
      </w:r>
    </w:p>
    <w:p>
      <w:pPr>
        <w:pStyle w:val="ListParagraph"/>
        <w:numPr>
          <w:ilvl w:val="0"/>
          <w:numId w:val="2"/>
        </w:numPr>
        <w:spacing w:after="80" w:line="276"/>
      </w:pPr>
      <w:r>
        <w:rPr>
          <w:rFonts w:ascii="Calibri" w:cs="Calibri" w:eastAsia="Calibri" w:hAnsi="Calibri"/>
          <w:sz w:val="22"/>
          <w:szCs w:val="22"/>
        </w:rPr>
        <w:t xml:space="preserve">P1 tickets: an update at least every 2 business hours until resolved, even if the update is that there is no change.</w:t>
      </w:r>
    </w:p>
    <w:p>
      <w:pPr>
        <w:pStyle w:val="ListParagraph"/>
        <w:numPr>
          <w:ilvl w:val="0"/>
          <w:numId w:val="2"/>
        </w:numPr>
        <w:spacing w:after="80" w:line="276"/>
      </w:pPr>
      <w:r>
        <w:rPr>
          <w:rFonts w:ascii="Calibri" w:cs="Calibri" w:eastAsia="Calibri" w:hAnsi="Calibri"/>
          <w:sz w:val="22"/>
          <w:szCs w:val="22"/>
        </w:rPr>
        <w:t xml:space="preserve">P2 tickets: an update at least once per business day.</w:t>
      </w:r>
    </w:p>
    <w:p>
      <w:pPr>
        <w:pStyle w:val="ListParagraph"/>
        <w:numPr>
          <w:ilvl w:val="0"/>
          <w:numId w:val="2"/>
        </w:numPr>
        <w:spacing w:after="80" w:line="276"/>
      </w:pPr>
      <w:r>
        <w:rPr>
          <w:rFonts w:ascii="Calibri" w:cs="Calibri" w:eastAsia="Calibri" w:hAnsi="Calibri"/>
          <w:sz w:val="22"/>
          <w:szCs w:val="22"/>
        </w:rPr>
        <w:t xml:space="preserve">P3 and P4 tickets: an update whenever the status changes, and at least once every 3 business days.</w:t>
      </w:r>
    </w:p>
    <w:p>
      <w:pPr>
        <w:pStyle w:val="Heading2"/>
        <w:keepNext/>
        <w:spacing w:after="120" w:before="240"/>
      </w:pPr>
      <w:r>
        <w:t xml:space="preserve">11.3 Tone and plain language</w:t>
      </w:r>
    </w:p>
    <w:p>
      <w:pPr>
        <w:spacing w:after="140" w:line="276"/>
      </w:pPr>
      <w:r>
        <w:rPr>
          <w:rFonts w:ascii="Calibri" w:cs="Calibri" w:eastAsia="Calibri" w:hAnsi="Calibri"/>
          <w:sz w:val="22"/>
          <w:szCs w:val="22"/>
        </w:rPr>
        <w:t xml:space="preserve">Help desk communication follows plain language principles: short sentences, active voice, and the customer's terms rather than internal jargon. Specialists explain what will happen next and by when. They never blame another GPO unit in writing. When the answer is no, the specialist says so clearly and offers the closest available alternative.</w:t>
      </w:r>
    </w:p>
    <w:p>
      <w:pPr>
        <w:pStyle w:val="Heading2"/>
        <w:keepNext/>
        <w:spacing w:after="120" w:before="240"/>
      </w:pPr>
      <w:r>
        <w:t xml:space="preserve">11.4 Closing a ticket</w:t>
      </w:r>
    </w:p>
    <w:p>
      <w:pPr>
        <w:spacing w:after="140" w:line="276"/>
      </w:pPr>
      <w:r>
        <w:rPr>
          <w:rFonts w:ascii="Calibri" w:cs="Calibri" w:eastAsia="Calibri" w:hAnsi="Calibri"/>
          <w:sz w:val="22"/>
          <w:szCs w:val="22"/>
        </w:rPr>
        <w:t xml:space="preserve">A ticket is closed only after the customer confirms resolution, or after two unanswered closure notices sent at least 3 business days apart. The closing note records what was done and links any related PSR.</w:t>
      </w:r>
    </w:p>
    <w:p>
      <w:pPr>
        <w:pStyle w:val="Heading1"/>
        <w:keepNext/>
        <w:spacing w:after="160" w:before="320"/>
      </w:pPr>
      <w:r>
        <w:t xml:space="preserve">12.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34"/>
        <w:gridCol w:w="6926"/>
      </w:tblGrid>
      <w:tr>
        <w:trPr>
          <w:tblHeader/>
        </w:trPr>
        <w:tc>
          <w:tcPr>
            <w:tcW w:type="dxa" w:w="243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Term</w:t>
            </w:r>
          </w:p>
        </w:tc>
        <w:tc>
          <w:tcPr>
            <w:tcW w:type="dxa" w:w="692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Definition</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billing code</w:t>
            </w:r>
          </w:p>
        </w:tc>
        <w:tc>
          <w:tcPr>
            <w:tcW w:type="dxa" w:w="692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interagency billing identifier that a liaison enters on a PSR to authorize charges</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Business day</w:t>
            </w:r>
          </w:p>
        </w:tc>
        <w:tc>
          <w:tcPr>
            <w:tcW w:type="dxa" w:w="692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Monday through Friday, excluding Federal holidays</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CUI</w:t>
            </w:r>
          </w:p>
        </w:tc>
        <w:tc>
          <w:tcPr>
            <w:tcW w:type="dxa" w:w="692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Controlled Unclassified Information, handled outside the PHD Service Portal</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FDLP</w:t>
            </w:r>
          </w:p>
        </w:tc>
        <w:tc>
          <w:tcPr>
            <w:tcW w:type="dxa" w:w="692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Federal Depository Library Program; a publication may be marked FDLP eligible on the PSR for depository distribution</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Liaison</w:t>
            </w:r>
          </w:p>
        </w:tc>
        <w:tc>
          <w:tcPr>
            <w:tcW w:type="dxa" w:w="692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person an agency designates to submit PSRs and approve proofs</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PHD</w:t>
            </w:r>
          </w:p>
        </w:tc>
        <w:tc>
          <w:tcPr>
            <w:tcW w:type="dxa" w:w="692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Publications Help Desk</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PSR</w:t>
            </w:r>
          </w:p>
        </w:tc>
        <w:tc>
          <w:tcPr>
            <w:tcW w:type="dxa" w:w="692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Publishing Service Request, the form that initiates a publishing job</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Proof</w:t>
            </w:r>
          </w:p>
        </w:tc>
        <w:tc>
          <w:tcPr>
            <w:tcW w:type="dxa" w:w="692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PDF or physical sample the liaison approves before production begins</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Rush service</w:t>
            </w:r>
          </w:p>
        </w:tc>
        <w:tc>
          <w:tcPr>
            <w:tcW w:type="dxa" w:w="692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Two business day turnaround where eligible, with a 35 percent surcharge</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Ticket</w:t>
            </w:r>
          </w:p>
        </w:tc>
        <w:tc>
          <w:tcPr>
            <w:tcW w:type="dxa" w:w="692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PHD Service Portal record for a request, numbered PHD-YYYY-NNNNNN</w:t>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A: Intake Checklist for Specialists</w:t>
      </w:r>
    </w:p>
    <w:p>
      <w:pPr>
        <w:spacing w:after="140" w:line="276"/>
      </w:pPr>
      <w:r>
        <w:rPr>
          <w:rFonts w:ascii="Calibri" w:cs="Calibri" w:eastAsia="Calibri" w:hAnsi="Calibri"/>
          <w:sz w:val="22"/>
          <w:szCs w:val="22"/>
        </w:rPr>
        <w:t xml:space="preserve">Use this checklist when creating a ticket on a customer's behalf.</w:t>
      </w:r>
    </w:p>
    <w:p>
      <w:pPr>
        <w:pStyle w:val="ListParagraph"/>
        <w:numPr>
          <w:ilvl w:val="0"/>
          <w:numId w:val="4"/>
        </w:numPr>
        <w:spacing w:after="80" w:line="276"/>
      </w:pPr>
      <w:r>
        <w:rPr>
          <w:rFonts w:ascii="Calibri" w:cs="Calibri" w:eastAsia="Calibri" w:hAnsi="Calibri"/>
          <w:sz w:val="22"/>
          <w:szCs w:val="22"/>
        </w:rPr>
        <w:t xml:space="preserve">Confirm the customer is a designated liaison or GPO internal customer. If not, log as Referral.</w:t>
      </w:r>
    </w:p>
    <w:p>
      <w:pPr>
        <w:pStyle w:val="ListParagraph"/>
        <w:numPr>
          <w:ilvl w:val="0"/>
          <w:numId w:val="4"/>
        </w:numPr>
        <w:spacing w:after="80" w:line="276"/>
      </w:pPr>
      <w:r>
        <w:rPr>
          <w:rFonts w:ascii="Calibri" w:cs="Calibri" w:eastAsia="Calibri" w:hAnsi="Calibri"/>
          <w:sz w:val="22"/>
          <w:szCs w:val="22"/>
        </w:rPr>
        <w:t xml:space="preserve">Capture contact details and the PSR number if one exists.</w:t>
      </w:r>
    </w:p>
    <w:p>
      <w:pPr>
        <w:pStyle w:val="ListParagraph"/>
        <w:numPr>
          <w:ilvl w:val="0"/>
          <w:numId w:val="4"/>
        </w:numPr>
        <w:spacing w:after="80" w:line="276"/>
      </w:pPr>
      <w:r>
        <w:rPr>
          <w:rFonts w:ascii="Calibri" w:cs="Calibri" w:eastAsia="Calibri" w:hAnsi="Calibri"/>
          <w:sz w:val="22"/>
          <w:szCs w:val="22"/>
        </w:rPr>
        <w:t xml:space="preserve">Ask whether any deadline is Congressional, statutory, or a public commitment. If yes, assign P1 and notify Tier 2 immediately.</w:t>
      </w:r>
    </w:p>
    <w:p>
      <w:pPr>
        <w:pStyle w:val="ListParagraph"/>
        <w:numPr>
          <w:ilvl w:val="0"/>
          <w:numId w:val="4"/>
        </w:numPr>
        <w:spacing w:after="80" w:line="276"/>
      </w:pPr>
      <w:r>
        <w:rPr>
          <w:rFonts w:ascii="Calibri" w:cs="Calibri" w:eastAsia="Calibri" w:hAnsi="Calibri"/>
          <w:sz w:val="22"/>
          <w:szCs w:val="22"/>
        </w:rPr>
        <w:t xml:space="preserve">Assign a category and priority. Record the reason for any priority above P3.</w:t>
      </w:r>
    </w:p>
    <w:p>
      <w:pPr>
        <w:pStyle w:val="ListParagraph"/>
        <w:numPr>
          <w:ilvl w:val="0"/>
          <w:numId w:val="4"/>
        </w:numPr>
        <w:spacing w:after="80" w:line="276"/>
      </w:pPr>
      <w:r>
        <w:rPr>
          <w:rFonts w:ascii="Calibri" w:cs="Calibri" w:eastAsia="Calibri" w:hAnsi="Calibri"/>
          <w:sz w:val="22"/>
          <w:szCs w:val="22"/>
        </w:rPr>
        <w:t xml:space="preserve">Send the ticket number and acknowledgment before starting work.</w:t>
      </w:r>
    </w:p>
    <w:p>
      <w:pPr>
        <w:pStyle w:val="ListParagraph"/>
        <w:numPr>
          <w:ilvl w:val="0"/>
          <w:numId w:val="4"/>
        </w:numPr>
        <w:spacing w:after="80" w:line="276"/>
      </w:pPr>
      <w:r>
        <w:rPr>
          <w:rFonts w:ascii="Calibri" w:cs="Calibri" w:eastAsia="Calibri" w:hAnsi="Calibri"/>
          <w:sz w:val="22"/>
          <w:szCs w:val="22"/>
        </w:rPr>
        <w:t xml:space="preserve">Check that no PII or CUI is present in the ticket or attachments.</w:t>
      </w:r>
    </w:p>
    <w:p>
      <w:pPr>
        <w:pStyle w:val="ListParagraph"/>
        <w:numPr>
          <w:ilvl w:val="0"/>
          <w:numId w:val="4"/>
        </w:numPr>
        <w:spacing w:after="80" w:line="276"/>
      </w:pPr>
      <w:r>
        <w:rPr>
          <w:rFonts w:ascii="Calibri" w:cs="Calibri" w:eastAsia="Calibri" w:hAnsi="Calibri"/>
          <w:sz w:val="22"/>
          <w:szCs w:val="22"/>
        </w:rPr>
        <w:t xml:space="preserve">Set the next update reminder according to the cadence in Section 11.2.</w:t>
      </w:r>
    </w:p>
    <w:p>
      <w:pPr>
        <w:pStyle w:val="Heading1"/>
        <w:keepNext/>
        <w:spacing w:after="160" w:before="320"/>
      </w:pPr>
      <w:r>
        <w:t xml:space="preserve">Appendix B: Acknowledgment Templates</w:t>
      </w:r>
    </w:p>
    <w:p>
      <w:pPr>
        <w:pStyle w:val="Heading3"/>
        <w:keepNext/>
        <w:spacing w:after="80" w:before="180"/>
      </w:pPr>
      <w:r>
        <w:t xml:space="preserve">B.1 Standard acknowledgment</w:t>
      </w:r>
    </w:p>
    <w:p>
      <w:pPr>
        <w:spacing w:after="140" w:line="276"/>
      </w:pPr>
      <w:r>
        <w:rPr>
          <w:rFonts w:ascii="Calibri" w:cs="Calibri" w:eastAsia="Calibri" w:hAnsi="Calibri"/>
          <w:sz w:val="22"/>
          <w:szCs w:val="22"/>
        </w:rPr>
        <w:t xml:space="preserve">Thank you for contacting the Publications Help Desk. Your request has been logged as ticket PHD-YYYY-NNNNNN. As we understand it, you need [one sentence restatement]. We have assigned priority [P#], which means you can expect a substantive response within [target]. Your next update will arrive by [date and time]. Please reply to this message with your ticket number if you have anything to add.</w:t>
      </w:r>
    </w:p>
    <w:p>
      <w:pPr>
        <w:pStyle w:val="Heading3"/>
        <w:keepNext/>
        <w:spacing w:after="80" w:before="180"/>
      </w:pPr>
      <w:r>
        <w:t xml:space="preserve">B.2 Referral acknowledgment</w:t>
      </w:r>
    </w:p>
    <w:p>
      <w:pPr>
        <w:spacing w:after="140" w:line="276"/>
      </w:pPr>
      <w:r>
        <w:rPr>
          <w:rFonts w:ascii="Calibri" w:cs="Calibri" w:eastAsia="Calibri" w:hAnsi="Calibri"/>
          <w:sz w:val="22"/>
          <w:szCs w:val="22"/>
        </w:rPr>
        <w:t xml:space="preserve">Thank you for contacting the Publications Help Desk. The help desk supports agency publishing liaisons and GPO offices with publishing services. Your request is best handled by [unit], which you can reach at [contact]. We have logged this as ticket PHD-YYYY-NNNNNN and closed it as Referred so you have a record of this response.</w:t>
      </w:r>
    </w:p>
    <w:p>
      <w:pPr>
        <w:pStyle w:val="Heading3"/>
        <w:keepNext/>
        <w:spacing w:after="80" w:before="180"/>
      </w:pPr>
      <w:r>
        <w:t xml:space="preserve">B.3 Priority 1 acknowledgment</w:t>
      </w:r>
    </w:p>
    <w:p>
      <w:pPr>
        <w:spacing w:after="140" w:line="276"/>
      </w:pPr>
      <w:r>
        <w:rPr>
          <w:rFonts w:ascii="Calibri" w:cs="Calibri" w:eastAsia="Calibri" w:hAnsi="Calibri"/>
          <w:sz w:val="22"/>
          <w:szCs w:val="22"/>
        </w:rPr>
        <w:t xml:space="preserve">We have logged your request as ticket PHD-YYYY-NNNNNN and assigned Priority 1 because [reason]. [Name] is your specialist and has notified Production Planning. You will receive an update every 2 business hours until this is resolved. If you need to reach us sooner, call (202) 555-0147 and quote the ticket number.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GPO Publications Help Desk  |  Training sample, fictional content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GPO-PHD-001  |  Publications Help Desk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Publications Help Desk Operating Manual</dc:title>
  <dc:creator>GPO Publications Help Desk</dc:creator>
  <dc:description>GPO-PHD-001</dc:description>
  <cp:lastModifiedBy>Un-named</cp:lastModifiedBy>
  <cp:revision>1</cp:revision>
  <dcterms:created xsi:type="dcterms:W3CDTF">2026-09-29T17:46:28.818Z</dcterms:created>
  <dcterms:modified xsi:type="dcterms:W3CDTF">2026-09-29T17:46:28.818Z</dcterms:modified>
</cp:coreProperties>
</file>

<file path=docProps/custom.xml><?xml version="1.0" encoding="utf-8"?>
<Properties xmlns="http://schemas.openxmlformats.org/officeDocument/2006/custom-properties" xmlns:vt="http://schemas.openxmlformats.org/officeDocument/2006/docPropsVTypes"/>
</file>