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08AA0" w14:textId="77777777" w:rsidR="00A31E0C" w:rsidRDefault="00570A23">
      <w:pPr>
        <w:spacing w:after="60"/>
      </w:pPr>
      <w:r>
        <w:rPr>
          <w:b/>
          <w:bCs/>
          <w:color w:val="C8102E"/>
          <w:sz w:val="18"/>
          <w:szCs w:val="18"/>
        </w:rPr>
        <w:t xml:space="preserve">GKFG DATA-DRIVEN DECISION-MAKING </w:t>
      </w:r>
      <w:proofErr w:type="gramStart"/>
      <w:r>
        <w:rPr>
          <w:b/>
          <w:bCs/>
          <w:color w:val="C8102E"/>
          <w:sz w:val="18"/>
          <w:szCs w:val="18"/>
        </w:rPr>
        <w:t>PROGRAM  |</w:t>
      </w:r>
      <w:proofErr w:type="gramEnd"/>
      <w:r>
        <w:rPr>
          <w:b/>
          <w:bCs/>
          <w:color w:val="C8102E"/>
          <w:sz w:val="18"/>
          <w:szCs w:val="18"/>
        </w:rPr>
        <w:t xml:space="preserve">  SESSION 3</w:t>
      </w:r>
    </w:p>
    <w:p w14:paraId="54C2CE2D" w14:textId="77777777" w:rsidR="00A31E0C" w:rsidRDefault="00570A23">
      <w:pPr>
        <w:spacing w:after="60"/>
      </w:pPr>
      <w:r>
        <w:rPr>
          <w:b/>
          <w:bCs/>
          <w:color w:val="555555"/>
          <w:sz w:val="24"/>
          <w:szCs w:val="24"/>
        </w:rPr>
        <w:t>Module 15</w:t>
      </w:r>
    </w:p>
    <w:p w14:paraId="506C7B13" w14:textId="77777777" w:rsidR="00A31E0C" w:rsidRDefault="00570A23">
      <w:pPr>
        <w:spacing w:after="60"/>
      </w:pPr>
      <w:r>
        <w:rPr>
          <w:b/>
          <w:bCs/>
          <w:color w:val="1A1A1A"/>
          <w:sz w:val="56"/>
          <w:szCs w:val="56"/>
        </w:rPr>
        <w:t>Enterprise Alignment Map</w:t>
      </w:r>
    </w:p>
    <w:p w14:paraId="6CBA62DD" w14:textId="77777777" w:rsidR="00A31E0C" w:rsidRDefault="00570A23">
      <w:pPr>
        <w:spacing w:after="320"/>
      </w:pPr>
      <w:r>
        <w:rPr>
          <w:i/>
          <w:iCs/>
          <w:color w:val="555555"/>
          <w:sz w:val="32"/>
          <w:szCs w:val="32"/>
        </w:rPr>
        <w:t>Participant Workbook</w:t>
      </w:r>
    </w:p>
    <w:p w14:paraId="456FA5C1" w14:textId="77777777" w:rsidR="00A31E0C" w:rsidRDefault="00A31E0C">
      <w:pPr>
        <w:pBdr>
          <w:bottom w:val="single" w:sz="18" w:space="8" w:color="C8102E"/>
        </w:pBdr>
        <w:spacing w:after="320"/>
      </w:pPr>
    </w:p>
    <w:p w14:paraId="6736C57C" w14:textId="77777777" w:rsidR="00A31E0C" w:rsidRDefault="00570A23">
      <w:pPr>
        <w:spacing w:after="120"/>
      </w:pPr>
      <w:r>
        <w:rPr>
          <w:b/>
          <w:bCs/>
        </w:rPr>
        <w:t xml:space="preserve">Name: </w:t>
      </w:r>
      <w:r>
        <w:rPr>
          <w:color w:val="555555"/>
        </w:rPr>
        <w:t>______________________________________________</w:t>
      </w:r>
    </w:p>
    <w:p w14:paraId="3B432739" w14:textId="77777777" w:rsidR="00A31E0C" w:rsidRDefault="00570A23">
      <w:pPr>
        <w:spacing w:after="120"/>
      </w:pPr>
      <w:r>
        <w:rPr>
          <w:b/>
          <w:bCs/>
        </w:rPr>
        <w:t xml:space="preserve">Function / SBU: </w:t>
      </w:r>
      <w:r>
        <w:rPr>
          <w:color w:val="555555"/>
        </w:rPr>
        <w:t>________________________________________</w:t>
      </w:r>
    </w:p>
    <w:p w14:paraId="1A44953E" w14:textId="77777777" w:rsidR="00A31E0C" w:rsidRDefault="00570A23">
      <w:pPr>
        <w:spacing w:after="320"/>
      </w:pPr>
      <w:r>
        <w:rPr>
          <w:b/>
          <w:bCs/>
        </w:rPr>
        <w:t xml:space="preserve">Table #: </w:t>
      </w:r>
      <w:r>
        <w:rPr>
          <w:color w:val="555555"/>
        </w:rPr>
        <w:t>_______</w:t>
      </w:r>
    </w:p>
    <w:p w14:paraId="541E35B4" w14:textId="77777777" w:rsidR="00A31E0C" w:rsidRDefault="00570A23">
      <w:pPr>
        <w:pBdr>
          <w:top w:val="single" w:sz="6" w:space="8" w:color="BFBFBF"/>
        </w:pBdr>
        <w:spacing w:before="600" w:after="120"/>
      </w:pPr>
      <w:r>
        <w:rPr>
          <w:i/>
          <w:iCs/>
          <w:color w:val="1A1A1A"/>
          <w:sz w:val="24"/>
          <w:szCs w:val="24"/>
        </w:rPr>
        <w:t>The org chart shows who reports to whom.</w:t>
      </w:r>
    </w:p>
    <w:p w14:paraId="25FF0D7D" w14:textId="77777777" w:rsidR="00A31E0C" w:rsidRDefault="00570A23">
      <w:pPr>
        <w:spacing w:after="120"/>
      </w:pPr>
      <w:r>
        <w:rPr>
          <w:i/>
          <w:iCs/>
          <w:color w:val="1A1A1A"/>
          <w:sz w:val="24"/>
          <w:szCs w:val="24"/>
        </w:rPr>
        <w:t>The data map shows who needs what from whom — and whether they are getting it.</w:t>
      </w:r>
    </w:p>
    <w:p w14:paraId="44B538BF" w14:textId="77777777" w:rsidR="00A31E0C" w:rsidRDefault="00570A23">
      <w:pPr>
        <w:spacing w:after="120"/>
      </w:pPr>
      <w:r>
        <w:rPr>
          <w:b/>
          <w:bCs/>
          <w:i/>
          <w:iCs/>
          <w:color w:val="C8102E"/>
          <w:sz w:val="24"/>
          <w:szCs w:val="24"/>
        </w:rPr>
        <w:t>Most organizations only have the first.</w:t>
      </w:r>
    </w:p>
    <w:p w14:paraId="774EC409" w14:textId="77777777" w:rsidR="00A31E0C" w:rsidRDefault="00570A23">
      <w:r>
        <w:br w:type="page"/>
      </w:r>
    </w:p>
    <w:p w14:paraId="23C38681" w14:textId="77777777" w:rsidR="00A31E0C" w:rsidRDefault="00570A23">
      <w:pPr>
        <w:pStyle w:val="Heading1"/>
      </w:pPr>
      <w:r>
        <w:lastRenderedPageBreak/>
        <w:t>How to Use This Workbook</w:t>
      </w:r>
    </w:p>
    <w:p w14:paraId="1F0BD8CF" w14:textId="77777777" w:rsidR="00A31E0C" w:rsidRDefault="00570A23">
      <w:pPr>
        <w:spacing w:after="120"/>
      </w:pPr>
      <w:r>
        <w:t xml:space="preserve">This workbook supports the Enterprise Alignment Map exercise — Module 15 of Session 3. It contains five </w:t>
      </w:r>
      <w:proofErr w:type="gramStart"/>
      <w:r>
        <w:t>sections,</w:t>
      </w:r>
      <w:proofErr w:type="gramEnd"/>
      <w:r>
        <w:t xml:space="preserve"> each used at a specific point in the next 30–45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A31E0C" w14:paraId="36A42A77" w14:textId="77777777">
        <w:tblPrEx>
          <w:tblCellMar>
            <w:top w:w="0" w:type="dxa"/>
            <w:bottom w:w="0" w:type="dxa"/>
          </w:tblCellMar>
        </w:tblPrEx>
        <w:trPr>
          <w:tblHeader/>
        </w:trPr>
        <w:tc>
          <w:tcPr>
            <w:tcW w:w="14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24893DCA" w14:textId="77777777" w:rsidR="00A31E0C" w:rsidRDefault="00570A23">
            <w:pPr>
              <w:jc w:val="center"/>
            </w:pPr>
            <w:r>
              <w:rPr>
                <w:b/>
                <w:bCs/>
                <w:color w:val="FFFFFF"/>
                <w:sz w:val="20"/>
                <w:szCs w:val="20"/>
              </w:rPr>
              <w:t>Section</w:t>
            </w:r>
          </w:p>
        </w:tc>
        <w:tc>
          <w:tcPr>
            <w:tcW w:w="2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401437E3" w14:textId="77777777" w:rsidR="00A31E0C" w:rsidRDefault="00570A23">
            <w:r>
              <w:rPr>
                <w:b/>
                <w:bCs/>
                <w:color w:val="FFFFFF"/>
                <w:sz w:val="20"/>
                <w:szCs w:val="20"/>
              </w:rPr>
              <w:t>When You Use It</w:t>
            </w:r>
          </w:p>
        </w:tc>
        <w:tc>
          <w:tcPr>
            <w:tcW w:w="576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62B0E092" w14:textId="77777777" w:rsidR="00A31E0C" w:rsidRDefault="00570A23">
            <w:r>
              <w:rPr>
                <w:b/>
                <w:bCs/>
                <w:color w:val="FFFFFF"/>
                <w:sz w:val="20"/>
                <w:szCs w:val="20"/>
              </w:rPr>
              <w:t xml:space="preserve">What You Do </w:t>
            </w:r>
            <w:proofErr w:type="gramStart"/>
            <w:r>
              <w:rPr>
                <w:b/>
                <w:bCs/>
                <w:color w:val="FFFFFF"/>
                <w:sz w:val="20"/>
                <w:szCs w:val="20"/>
              </w:rPr>
              <w:t>With</w:t>
            </w:r>
            <w:proofErr w:type="gramEnd"/>
            <w:r>
              <w:rPr>
                <w:b/>
                <w:bCs/>
                <w:color w:val="FFFFFF"/>
                <w:sz w:val="20"/>
                <w:szCs w:val="20"/>
              </w:rPr>
              <w:t xml:space="preserve"> It</w:t>
            </w:r>
          </w:p>
        </w:tc>
      </w:tr>
      <w:tr w:rsidR="00A31E0C" w14:paraId="0A6DC425" w14:textId="77777777">
        <w:tblPrEx>
          <w:tblCellMar>
            <w:top w:w="0" w:type="dxa"/>
            <w:bottom w:w="0" w:type="dxa"/>
          </w:tblCellMar>
        </w:tblPrEx>
        <w:tc>
          <w:tcPr>
            <w:tcW w:w="14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52FDE082" w14:textId="77777777" w:rsidR="00A31E0C" w:rsidRDefault="00570A23">
            <w:pPr>
              <w:jc w:val="center"/>
            </w:pPr>
            <w:r>
              <w:rPr>
                <w:b/>
                <w:bCs/>
                <w:color w:val="1A1A1A"/>
                <w:sz w:val="20"/>
                <w:szCs w:val="20"/>
              </w:rPr>
              <w:t>1</w:t>
            </w:r>
          </w:p>
        </w:tc>
        <w:tc>
          <w:tcPr>
            <w:tcW w:w="22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709ACDCA" w14:textId="77777777" w:rsidR="00A31E0C" w:rsidRDefault="00570A23">
            <w:r>
              <w:rPr>
                <w:b/>
                <w:bCs/>
                <w:color w:val="1A1A1A"/>
                <w:sz w:val="20"/>
                <w:szCs w:val="20"/>
              </w:rPr>
              <w:t>Minutes 0–4 (Frame)</w:t>
            </w:r>
          </w:p>
        </w:tc>
        <w:tc>
          <w:tcPr>
            <w:tcW w:w="5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7DD5B42B" w14:textId="77777777" w:rsidR="00A31E0C" w:rsidRDefault="00570A23">
            <w:r>
              <w:rPr>
                <w:color w:val="1A1A1A"/>
                <w:sz w:val="20"/>
                <w:szCs w:val="20"/>
              </w:rPr>
              <w:t xml:space="preserve">Read along with the trainer. Internalize the four indicators. Reflect on the question: where do you, in your role, regularly make decisions without being sure the supporting information </w:t>
            </w:r>
            <w:proofErr w:type="gramStart"/>
            <w:r>
              <w:rPr>
                <w:color w:val="1A1A1A"/>
                <w:sz w:val="20"/>
                <w:szCs w:val="20"/>
              </w:rPr>
              <w:t>actually arrived</w:t>
            </w:r>
            <w:proofErr w:type="gramEnd"/>
            <w:r>
              <w:rPr>
                <w:color w:val="1A1A1A"/>
                <w:sz w:val="20"/>
                <w:szCs w:val="20"/>
              </w:rPr>
              <w:t>?</w:t>
            </w:r>
          </w:p>
        </w:tc>
      </w:tr>
      <w:tr w:rsidR="00A31E0C" w14:paraId="27ED8A15" w14:textId="77777777">
        <w:tblPrEx>
          <w:tblCellMar>
            <w:top w:w="0" w:type="dxa"/>
            <w:bottom w:w="0" w:type="dxa"/>
          </w:tblCellMar>
        </w:tblPrEx>
        <w:tc>
          <w:tcPr>
            <w:tcW w:w="14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300A6FEC" w14:textId="77777777" w:rsidR="00A31E0C" w:rsidRDefault="00570A23">
            <w:pPr>
              <w:jc w:val="center"/>
            </w:pPr>
            <w:r>
              <w:rPr>
                <w:b/>
                <w:bCs/>
                <w:color w:val="1A1A1A"/>
                <w:sz w:val="20"/>
                <w:szCs w:val="20"/>
              </w:rPr>
              <w:t>2</w:t>
            </w:r>
          </w:p>
        </w:tc>
        <w:tc>
          <w:tcPr>
            <w:tcW w:w="22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1B747838" w14:textId="77777777" w:rsidR="00A31E0C" w:rsidRDefault="00570A23">
            <w:r>
              <w:rPr>
                <w:b/>
                <w:bCs/>
                <w:color w:val="1A1A1A"/>
                <w:sz w:val="20"/>
                <w:szCs w:val="20"/>
              </w:rPr>
              <w:t>Minutes 4–24 (Build)</w:t>
            </w:r>
          </w:p>
        </w:tc>
        <w:tc>
          <w:tcPr>
            <w:tcW w:w="5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5E34BAC2" w14:textId="77777777" w:rsidR="00A31E0C" w:rsidRDefault="00570A23">
            <w:r>
              <w:rPr>
                <w:color w:val="1A1A1A"/>
                <w:sz w:val="20"/>
                <w:szCs w:val="20"/>
              </w:rPr>
              <w:t>Your table fills in the Alignment Grid on a shared Worksheet. This workbook gives you a private grid to mark your own view first — useful when your table converges too quickly.</w:t>
            </w:r>
          </w:p>
        </w:tc>
      </w:tr>
      <w:tr w:rsidR="00A31E0C" w14:paraId="624F1AD5" w14:textId="77777777">
        <w:tblPrEx>
          <w:tblCellMar>
            <w:top w:w="0" w:type="dxa"/>
            <w:bottom w:w="0" w:type="dxa"/>
          </w:tblCellMar>
        </w:tblPrEx>
        <w:tc>
          <w:tcPr>
            <w:tcW w:w="14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5ED706CB" w14:textId="77777777" w:rsidR="00A31E0C" w:rsidRDefault="00570A23">
            <w:pPr>
              <w:jc w:val="center"/>
            </w:pPr>
            <w:r>
              <w:rPr>
                <w:b/>
                <w:bCs/>
                <w:color w:val="1A1A1A"/>
                <w:sz w:val="20"/>
                <w:szCs w:val="20"/>
              </w:rPr>
              <w:t>3</w:t>
            </w:r>
          </w:p>
        </w:tc>
        <w:tc>
          <w:tcPr>
            <w:tcW w:w="22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7A2C784D" w14:textId="77777777" w:rsidR="00A31E0C" w:rsidRDefault="00570A23">
            <w:r>
              <w:rPr>
                <w:b/>
                <w:bCs/>
                <w:color w:val="1A1A1A"/>
                <w:sz w:val="20"/>
                <w:szCs w:val="20"/>
              </w:rPr>
              <w:t>Minutes 24–32 (Read-Out)</w:t>
            </w:r>
          </w:p>
        </w:tc>
        <w:tc>
          <w:tcPr>
            <w:tcW w:w="5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17102B05" w14:textId="77777777" w:rsidR="00A31E0C" w:rsidRDefault="00570A23">
            <w:r>
              <w:rPr>
                <w:color w:val="1A1A1A"/>
                <w:sz w:val="20"/>
                <w:szCs w:val="20"/>
              </w:rPr>
              <w:t>Capture patterns as other tables read out. The space provided is for the cells that surprise you — convergent, divergent, or simply new.</w:t>
            </w:r>
          </w:p>
        </w:tc>
      </w:tr>
      <w:tr w:rsidR="00A31E0C" w14:paraId="1DBE52FF" w14:textId="77777777">
        <w:tblPrEx>
          <w:tblCellMar>
            <w:top w:w="0" w:type="dxa"/>
            <w:bottom w:w="0" w:type="dxa"/>
          </w:tblCellMar>
        </w:tblPrEx>
        <w:tc>
          <w:tcPr>
            <w:tcW w:w="14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0FC54A2E" w14:textId="77777777" w:rsidR="00A31E0C" w:rsidRDefault="00570A23">
            <w:pPr>
              <w:jc w:val="center"/>
            </w:pPr>
            <w:r>
              <w:rPr>
                <w:b/>
                <w:bCs/>
                <w:color w:val="1A1A1A"/>
                <w:sz w:val="20"/>
                <w:szCs w:val="20"/>
              </w:rPr>
              <w:t>4</w:t>
            </w:r>
          </w:p>
        </w:tc>
        <w:tc>
          <w:tcPr>
            <w:tcW w:w="22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1EBB704C" w14:textId="77777777" w:rsidR="00A31E0C" w:rsidRDefault="00570A23">
            <w:r>
              <w:rPr>
                <w:b/>
                <w:bCs/>
                <w:color w:val="1A1A1A"/>
                <w:sz w:val="20"/>
                <w:szCs w:val="20"/>
              </w:rPr>
              <w:t>Minutes 32–38 (Ownership)</w:t>
            </w:r>
          </w:p>
        </w:tc>
        <w:tc>
          <w:tcPr>
            <w:tcW w:w="5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17CFE62F" w14:textId="77777777" w:rsidR="00A31E0C" w:rsidRDefault="00570A23">
            <w:r>
              <w:rPr>
                <w:color w:val="1A1A1A"/>
                <w:sz w:val="20"/>
                <w:szCs w:val="20"/>
              </w:rPr>
              <w:t>Your table completes one Escalation Card together. This workbook contains a private reflection prompt for your individual Commitment #3 (carried into Module 16).</w:t>
            </w:r>
          </w:p>
        </w:tc>
      </w:tr>
      <w:tr w:rsidR="00A31E0C" w14:paraId="43A5E28B" w14:textId="77777777">
        <w:tblPrEx>
          <w:tblCellMar>
            <w:top w:w="0" w:type="dxa"/>
            <w:bottom w:w="0" w:type="dxa"/>
          </w:tblCellMar>
        </w:tblPrEx>
        <w:tc>
          <w:tcPr>
            <w:tcW w:w="14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2982C3C6" w14:textId="77777777" w:rsidR="00A31E0C" w:rsidRDefault="00570A23">
            <w:pPr>
              <w:jc w:val="center"/>
            </w:pPr>
            <w:r>
              <w:rPr>
                <w:b/>
                <w:bCs/>
                <w:color w:val="1A1A1A"/>
                <w:sz w:val="20"/>
                <w:szCs w:val="20"/>
              </w:rPr>
              <w:t>5</w:t>
            </w:r>
          </w:p>
        </w:tc>
        <w:tc>
          <w:tcPr>
            <w:tcW w:w="22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189D532E" w14:textId="77777777" w:rsidR="00A31E0C" w:rsidRDefault="00570A23">
            <w:r>
              <w:rPr>
                <w:b/>
                <w:bCs/>
                <w:color w:val="1A1A1A"/>
                <w:sz w:val="20"/>
                <w:szCs w:val="20"/>
              </w:rPr>
              <w:t>Minutes 38–40 (Bridge) and beyond</w:t>
            </w:r>
          </w:p>
        </w:tc>
        <w:tc>
          <w:tcPr>
            <w:tcW w:w="5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668CD3CA" w14:textId="77777777" w:rsidR="00A31E0C" w:rsidRDefault="00570A23">
            <w:r>
              <w:rPr>
                <w:color w:val="1A1A1A"/>
                <w:sz w:val="20"/>
                <w:szCs w:val="20"/>
              </w:rPr>
              <w:t xml:space="preserve">Reference material — definitions, examples, and a </w:t>
            </w:r>
            <w:proofErr w:type="gramStart"/>
            <w:r>
              <w:rPr>
                <w:color w:val="1A1A1A"/>
                <w:sz w:val="20"/>
                <w:szCs w:val="20"/>
              </w:rPr>
              <w:t>take-home prompt</w:t>
            </w:r>
            <w:proofErr w:type="gramEnd"/>
            <w:r>
              <w:rPr>
                <w:color w:val="1A1A1A"/>
                <w:sz w:val="20"/>
                <w:szCs w:val="20"/>
              </w:rPr>
              <w:t xml:space="preserve"> sheet for the 30-day window between this session and the Day-30 follow-up.</w:t>
            </w:r>
          </w:p>
        </w:tc>
      </w:tr>
    </w:tbl>
    <w:p w14:paraId="4DF0D97E" w14:textId="77777777" w:rsidR="00A31E0C" w:rsidRDefault="00570A23">
      <w:r>
        <w:br w:type="page"/>
      </w:r>
    </w:p>
    <w:p w14:paraId="2BD49F4D" w14:textId="77777777" w:rsidR="00A31E0C" w:rsidRDefault="00570A23">
      <w:pPr>
        <w:pStyle w:val="Heading1"/>
      </w:pPr>
      <w:r>
        <w:lastRenderedPageBreak/>
        <w:t>Section 1 — The Four Indicators</w:t>
      </w:r>
    </w:p>
    <w:p w14:paraId="16F00F5D" w14:textId="77777777" w:rsidR="00A31E0C" w:rsidRDefault="00570A23">
      <w:pPr>
        <w:spacing w:after="120"/>
      </w:pPr>
      <w:r>
        <w:t>Every off-diagonal cell on the Alignment Grid gets exactly one of four marks. The marks are deliberately simple. Reach for nuance in the conversation, not in the indicator.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3200"/>
        <w:gridCol w:w="3560"/>
      </w:tblGrid>
      <w:tr w:rsidR="00A31E0C" w14:paraId="2288D5DA" w14:textId="77777777">
        <w:tblPrEx>
          <w:tblCellMar>
            <w:top w:w="0" w:type="dxa"/>
            <w:bottom w:w="0" w:type="dxa"/>
          </w:tblCellMar>
        </w:tblPrEx>
        <w:trPr>
          <w:tblHeader/>
        </w:trPr>
        <w:tc>
          <w:tcPr>
            <w:tcW w:w="8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128A13B7" w14:textId="77777777" w:rsidR="00A31E0C" w:rsidRDefault="00570A23">
            <w:pPr>
              <w:jc w:val="center"/>
            </w:pPr>
            <w:r>
              <w:rPr>
                <w:b/>
                <w:bCs/>
                <w:color w:val="FFFFFF"/>
                <w:sz w:val="20"/>
                <w:szCs w:val="20"/>
              </w:rPr>
              <w:t>Mark</w:t>
            </w:r>
          </w:p>
        </w:tc>
        <w:tc>
          <w:tcPr>
            <w:tcW w:w="18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56231E68" w14:textId="77777777" w:rsidR="00A31E0C" w:rsidRDefault="00570A23">
            <w:r>
              <w:rPr>
                <w:b/>
                <w:bCs/>
                <w:color w:val="FFFFFF"/>
                <w:sz w:val="20"/>
                <w:szCs w:val="20"/>
              </w:rPr>
              <w:t>Meaning</w:t>
            </w:r>
          </w:p>
        </w:tc>
        <w:tc>
          <w:tcPr>
            <w:tcW w:w="3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1C526E33" w14:textId="77777777" w:rsidR="00A31E0C" w:rsidRDefault="00570A23">
            <w:r>
              <w:rPr>
                <w:b/>
                <w:bCs/>
                <w:color w:val="FFFFFF"/>
                <w:sz w:val="20"/>
                <w:szCs w:val="20"/>
              </w:rPr>
              <w:t>Use This When…</w:t>
            </w:r>
          </w:p>
        </w:tc>
        <w:tc>
          <w:tcPr>
            <w:tcW w:w="356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215A5C04" w14:textId="77777777" w:rsidR="00A31E0C" w:rsidRDefault="00570A23">
            <w:r>
              <w:rPr>
                <w:b/>
                <w:bCs/>
                <w:color w:val="FFFFFF"/>
                <w:sz w:val="20"/>
                <w:szCs w:val="20"/>
              </w:rPr>
              <w:t>Example</w:t>
            </w:r>
          </w:p>
        </w:tc>
      </w:tr>
      <w:tr w:rsidR="00A31E0C" w14:paraId="75F93D1D" w14:textId="77777777">
        <w:tblPrEx>
          <w:tblCellMar>
            <w:top w:w="0" w:type="dxa"/>
            <w:bottom w:w="0" w:type="dxa"/>
          </w:tblCellMar>
        </w:tblPrEx>
        <w:tc>
          <w:tcPr>
            <w:tcW w:w="800" w:type="dxa"/>
            <w:tcBorders>
              <w:top w:val="single" w:sz="6" w:space="0" w:color="9A9A9A"/>
              <w:left w:val="single" w:sz="6" w:space="0" w:color="9A9A9A"/>
              <w:bottom w:val="single" w:sz="6" w:space="0" w:color="9A9A9A"/>
              <w:right w:val="single" w:sz="6" w:space="0" w:color="9A9A9A"/>
            </w:tcBorders>
            <w:shd w:val="clear" w:color="auto" w:fill="E8F5E9"/>
            <w:tcMar>
              <w:top w:w="80" w:type="dxa"/>
              <w:left w:w="120" w:type="dxa"/>
              <w:bottom w:w="80" w:type="dxa"/>
              <w:right w:w="120" w:type="dxa"/>
            </w:tcMar>
          </w:tcPr>
          <w:p w14:paraId="7680E236" w14:textId="77777777" w:rsidR="00A31E0C" w:rsidRDefault="00570A23">
            <w:pPr>
              <w:jc w:val="center"/>
            </w:pPr>
            <w:r>
              <w:rPr>
                <w:b/>
                <w:bCs/>
                <w:color w:val="2E7D32"/>
                <w:sz w:val="40"/>
                <w:szCs w:val="40"/>
              </w:rPr>
              <w:t>✓</w:t>
            </w:r>
          </w:p>
        </w:tc>
        <w:tc>
          <w:tcPr>
            <w:tcW w:w="1800" w:type="dxa"/>
            <w:tcBorders>
              <w:top w:val="single" w:sz="6" w:space="0" w:color="9A9A9A"/>
              <w:left w:val="single" w:sz="6" w:space="0" w:color="9A9A9A"/>
              <w:bottom w:val="single" w:sz="6" w:space="0" w:color="9A9A9A"/>
              <w:right w:val="single" w:sz="6" w:space="0" w:color="9A9A9A"/>
            </w:tcBorders>
            <w:shd w:val="clear" w:color="auto" w:fill="F1F8E9"/>
            <w:tcMar>
              <w:top w:w="80" w:type="dxa"/>
              <w:left w:w="120" w:type="dxa"/>
              <w:bottom w:w="80" w:type="dxa"/>
              <w:right w:w="120" w:type="dxa"/>
            </w:tcMar>
            <w:vAlign w:val="center"/>
          </w:tcPr>
          <w:p w14:paraId="49731F89" w14:textId="77777777" w:rsidR="00A31E0C" w:rsidRDefault="00570A23">
            <w:r>
              <w:rPr>
                <w:b/>
                <w:bCs/>
                <w:color w:val="1A1A1A"/>
                <w:sz w:val="20"/>
                <w:szCs w:val="20"/>
              </w:rPr>
              <w:t>Getting it</w:t>
            </w:r>
          </w:p>
        </w:tc>
        <w:tc>
          <w:tcPr>
            <w:tcW w:w="32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608DB697" w14:textId="77777777" w:rsidR="00A31E0C" w:rsidRDefault="00570A23">
            <w:r>
              <w:rPr>
                <w:color w:val="1A1A1A"/>
                <w:sz w:val="20"/>
                <w:szCs w:val="20"/>
              </w:rPr>
              <w:t xml:space="preserve">Data flows reliably between these functions AND is </w:t>
            </w:r>
            <w:proofErr w:type="gramStart"/>
            <w:r>
              <w:rPr>
                <w:color w:val="1A1A1A"/>
                <w:sz w:val="20"/>
                <w:szCs w:val="20"/>
              </w:rPr>
              <w:t>actually used</w:t>
            </w:r>
            <w:proofErr w:type="gramEnd"/>
            <w:r>
              <w:rPr>
                <w:color w:val="1A1A1A"/>
                <w:sz w:val="20"/>
                <w:szCs w:val="20"/>
              </w:rPr>
              <w:t xml:space="preserve"> in decisions. You can point to a specific decision in the last 90 days that </w:t>
            </w:r>
            <w:proofErr w:type="gramStart"/>
            <w:r>
              <w:rPr>
                <w:color w:val="1A1A1A"/>
                <w:sz w:val="20"/>
                <w:szCs w:val="20"/>
              </w:rPr>
              <w:t>used</w:t>
            </w:r>
            <w:proofErr w:type="gramEnd"/>
            <w:r>
              <w:rPr>
                <w:color w:val="1A1A1A"/>
                <w:sz w:val="20"/>
                <w:szCs w:val="20"/>
              </w:rPr>
              <w:t xml:space="preserve"> it.</w:t>
            </w:r>
          </w:p>
        </w:tc>
        <w:tc>
          <w:tcPr>
            <w:tcW w:w="35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37A2A74E" w14:textId="77777777" w:rsidR="00A31E0C" w:rsidRDefault="00570A23">
            <w:r>
              <w:rPr>
                <w:i/>
                <w:iCs/>
                <w:color w:val="1A1A1A"/>
                <w:sz w:val="20"/>
                <w:szCs w:val="20"/>
              </w:rPr>
              <w:t>Compliance receives FGB transaction-level data daily, and AML alerts are triaged within SLA against that feed.</w:t>
            </w:r>
          </w:p>
        </w:tc>
      </w:tr>
      <w:tr w:rsidR="00A31E0C" w14:paraId="125359A4" w14:textId="77777777">
        <w:tblPrEx>
          <w:tblCellMar>
            <w:top w:w="0" w:type="dxa"/>
            <w:bottom w:w="0" w:type="dxa"/>
          </w:tblCellMar>
        </w:tblPrEx>
        <w:tc>
          <w:tcPr>
            <w:tcW w:w="800" w:type="dxa"/>
            <w:tcBorders>
              <w:top w:val="single" w:sz="6" w:space="0" w:color="9A9A9A"/>
              <w:left w:val="single" w:sz="6" w:space="0" w:color="9A9A9A"/>
              <w:bottom w:val="single" w:sz="6" w:space="0" w:color="9A9A9A"/>
              <w:right w:val="single" w:sz="6" w:space="0" w:color="9A9A9A"/>
            </w:tcBorders>
            <w:shd w:val="clear" w:color="auto" w:fill="FFF8E1"/>
            <w:tcMar>
              <w:top w:w="80" w:type="dxa"/>
              <w:left w:w="120" w:type="dxa"/>
              <w:bottom w:w="80" w:type="dxa"/>
              <w:right w:w="120" w:type="dxa"/>
            </w:tcMar>
          </w:tcPr>
          <w:p w14:paraId="75AA834F" w14:textId="77777777" w:rsidR="00A31E0C" w:rsidRDefault="00570A23">
            <w:pPr>
              <w:jc w:val="center"/>
            </w:pPr>
            <w:r>
              <w:rPr>
                <w:b/>
                <w:bCs/>
                <w:color w:val="F57F17"/>
                <w:sz w:val="40"/>
                <w:szCs w:val="40"/>
              </w:rPr>
              <w:t>◐</w:t>
            </w:r>
          </w:p>
        </w:tc>
        <w:tc>
          <w:tcPr>
            <w:tcW w:w="1800" w:type="dxa"/>
            <w:tcBorders>
              <w:top w:val="single" w:sz="6" w:space="0" w:color="9A9A9A"/>
              <w:left w:val="single" w:sz="6" w:space="0" w:color="9A9A9A"/>
              <w:bottom w:val="single" w:sz="6" w:space="0" w:color="9A9A9A"/>
              <w:right w:val="single" w:sz="6" w:space="0" w:color="9A9A9A"/>
            </w:tcBorders>
            <w:shd w:val="clear" w:color="auto" w:fill="FFFDE7"/>
            <w:tcMar>
              <w:top w:w="80" w:type="dxa"/>
              <w:left w:w="120" w:type="dxa"/>
              <w:bottom w:w="80" w:type="dxa"/>
              <w:right w:w="120" w:type="dxa"/>
            </w:tcMar>
            <w:vAlign w:val="center"/>
          </w:tcPr>
          <w:p w14:paraId="297C5E9E" w14:textId="77777777" w:rsidR="00A31E0C" w:rsidRDefault="00570A23">
            <w:r>
              <w:rPr>
                <w:b/>
                <w:bCs/>
                <w:color w:val="1A1A1A"/>
                <w:sz w:val="20"/>
                <w:szCs w:val="20"/>
              </w:rPr>
              <w:t>Partial</w:t>
            </w:r>
          </w:p>
        </w:tc>
        <w:tc>
          <w:tcPr>
            <w:tcW w:w="32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2346A30D" w14:textId="77777777" w:rsidR="00A31E0C" w:rsidRDefault="00570A23">
            <w:r>
              <w:rPr>
                <w:color w:val="1A1A1A"/>
                <w:sz w:val="20"/>
                <w:szCs w:val="20"/>
              </w:rPr>
              <w:t>Some data flows, real gaps remain — or data flows but is not consistently used. Most cells will be ◐. That is fine and honest.</w:t>
            </w:r>
          </w:p>
        </w:tc>
        <w:tc>
          <w:tcPr>
            <w:tcW w:w="35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67E9E06B" w14:textId="77777777" w:rsidR="00A31E0C" w:rsidRDefault="00570A23">
            <w:r>
              <w:rPr>
                <w:i/>
                <w:iCs/>
                <w:color w:val="1A1A1A"/>
                <w:sz w:val="20"/>
                <w:szCs w:val="20"/>
              </w:rPr>
              <w:t>Banking gets GKGI claims volume monthly, but not the parish-level breakdown that would inform post-Melissa credit decisions.</w:t>
            </w:r>
          </w:p>
        </w:tc>
      </w:tr>
      <w:tr w:rsidR="00A31E0C" w14:paraId="115E58DF" w14:textId="77777777">
        <w:tblPrEx>
          <w:tblCellMar>
            <w:top w:w="0" w:type="dxa"/>
            <w:bottom w:w="0" w:type="dxa"/>
          </w:tblCellMar>
        </w:tblPrEx>
        <w:tc>
          <w:tcPr>
            <w:tcW w:w="800" w:type="dxa"/>
            <w:tcBorders>
              <w:top w:val="single" w:sz="6" w:space="0" w:color="9A9A9A"/>
              <w:left w:val="single" w:sz="6" w:space="0" w:color="9A9A9A"/>
              <w:bottom w:val="single" w:sz="6" w:space="0" w:color="9A9A9A"/>
              <w:right w:val="single" w:sz="6" w:space="0" w:color="9A9A9A"/>
            </w:tcBorders>
            <w:shd w:val="clear" w:color="auto" w:fill="FFEBEE"/>
            <w:tcMar>
              <w:top w:w="80" w:type="dxa"/>
              <w:left w:w="120" w:type="dxa"/>
              <w:bottom w:w="80" w:type="dxa"/>
              <w:right w:w="120" w:type="dxa"/>
            </w:tcMar>
          </w:tcPr>
          <w:p w14:paraId="22A2AA38" w14:textId="77777777" w:rsidR="00A31E0C" w:rsidRDefault="00570A23">
            <w:pPr>
              <w:jc w:val="center"/>
            </w:pPr>
            <w:r>
              <w:rPr>
                <w:b/>
                <w:bCs/>
                <w:color w:val="C62828"/>
                <w:sz w:val="40"/>
                <w:szCs w:val="40"/>
              </w:rPr>
              <w:t>✗</w:t>
            </w:r>
          </w:p>
        </w:tc>
        <w:tc>
          <w:tcPr>
            <w:tcW w:w="1800" w:type="dxa"/>
            <w:tcBorders>
              <w:top w:val="single" w:sz="6" w:space="0" w:color="9A9A9A"/>
              <w:left w:val="single" w:sz="6" w:space="0" w:color="9A9A9A"/>
              <w:bottom w:val="single" w:sz="6" w:space="0" w:color="9A9A9A"/>
              <w:right w:val="single" w:sz="6" w:space="0" w:color="9A9A9A"/>
            </w:tcBorders>
            <w:shd w:val="clear" w:color="auto" w:fill="FFEBEE"/>
            <w:tcMar>
              <w:top w:w="80" w:type="dxa"/>
              <w:left w:w="120" w:type="dxa"/>
              <w:bottom w:w="80" w:type="dxa"/>
              <w:right w:w="120" w:type="dxa"/>
            </w:tcMar>
            <w:vAlign w:val="center"/>
          </w:tcPr>
          <w:p w14:paraId="5568DE50" w14:textId="77777777" w:rsidR="00A31E0C" w:rsidRDefault="00570A23">
            <w:r>
              <w:rPr>
                <w:b/>
                <w:bCs/>
                <w:color w:val="1A1A1A"/>
                <w:sz w:val="20"/>
                <w:szCs w:val="20"/>
              </w:rPr>
              <w:t>Not getting it</w:t>
            </w:r>
          </w:p>
        </w:tc>
        <w:tc>
          <w:tcPr>
            <w:tcW w:w="32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33259734" w14:textId="77777777" w:rsidR="00A31E0C" w:rsidRDefault="00570A23">
            <w:proofErr w:type="gramStart"/>
            <w:r>
              <w:rPr>
                <w:color w:val="1A1A1A"/>
                <w:sz w:val="20"/>
                <w:szCs w:val="20"/>
              </w:rPr>
              <w:t>The need</w:t>
            </w:r>
            <w:proofErr w:type="gramEnd"/>
            <w:r>
              <w:rPr>
                <w:color w:val="1A1A1A"/>
                <w:sz w:val="20"/>
                <w:szCs w:val="20"/>
              </w:rPr>
              <w:t xml:space="preserve"> exists, but the data flow does not. Decisions are being made by approximation, by anecdote, or by waiting </w:t>
            </w:r>
            <w:proofErr w:type="gramStart"/>
            <w:r>
              <w:rPr>
                <w:color w:val="1A1A1A"/>
                <w:sz w:val="20"/>
                <w:szCs w:val="20"/>
              </w:rPr>
              <w:t>on</w:t>
            </w:r>
            <w:proofErr w:type="gramEnd"/>
            <w:r>
              <w:rPr>
                <w:color w:val="1A1A1A"/>
                <w:sz w:val="20"/>
                <w:szCs w:val="20"/>
              </w:rPr>
              <w:t xml:space="preserve"> a quarterly report.</w:t>
            </w:r>
          </w:p>
        </w:tc>
        <w:tc>
          <w:tcPr>
            <w:tcW w:w="35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44266E32" w14:textId="77777777" w:rsidR="00A31E0C" w:rsidRDefault="00570A23">
            <w:r>
              <w:rPr>
                <w:i/>
                <w:iCs/>
                <w:color w:val="1A1A1A"/>
                <w:sz w:val="20"/>
                <w:szCs w:val="20"/>
              </w:rPr>
              <w:t>Money Services has no view of which GKGI customers are also remittance senders — making true cross-affiliation cross-sell impossible.</w:t>
            </w:r>
          </w:p>
        </w:tc>
      </w:tr>
      <w:tr w:rsidR="00A31E0C" w14:paraId="5719A125" w14:textId="77777777">
        <w:tblPrEx>
          <w:tblCellMar>
            <w:top w:w="0" w:type="dxa"/>
            <w:bottom w:w="0" w:type="dxa"/>
          </w:tblCellMar>
        </w:tblPrEx>
        <w:tc>
          <w:tcPr>
            <w:tcW w:w="800" w:type="dxa"/>
            <w:tcBorders>
              <w:top w:val="single" w:sz="6" w:space="0" w:color="9A9A9A"/>
              <w:left w:val="single" w:sz="6" w:space="0" w:color="9A9A9A"/>
              <w:bottom w:val="single" w:sz="6" w:space="0" w:color="9A9A9A"/>
              <w:right w:val="single" w:sz="6" w:space="0" w:color="9A9A9A"/>
            </w:tcBorders>
            <w:shd w:val="clear" w:color="auto" w:fill="E3F2FD"/>
            <w:tcMar>
              <w:top w:w="80" w:type="dxa"/>
              <w:left w:w="120" w:type="dxa"/>
              <w:bottom w:w="80" w:type="dxa"/>
              <w:right w:w="120" w:type="dxa"/>
            </w:tcMar>
          </w:tcPr>
          <w:p w14:paraId="6B841B48" w14:textId="77777777" w:rsidR="00A31E0C" w:rsidRDefault="00570A23">
            <w:pPr>
              <w:jc w:val="center"/>
            </w:pPr>
            <w:r>
              <w:rPr>
                <w:b/>
                <w:bCs/>
                <w:color w:val="0D47A1"/>
                <w:sz w:val="40"/>
                <w:szCs w:val="40"/>
              </w:rPr>
              <w:t>?</w:t>
            </w:r>
          </w:p>
        </w:tc>
        <w:tc>
          <w:tcPr>
            <w:tcW w:w="1800" w:type="dxa"/>
            <w:tcBorders>
              <w:top w:val="single" w:sz="6" w:space="0" w:color="9A9A9A"/>
              <w:left w:val="single" w:sz="6" w:space="0" w:color="9A9A9A"/>
              <w:bottom w:val="single" w:sz="6" w:space="0" w:color="9A9A9A"/>
              <w:right w:val="single" w:sz="6" w:space="0" w:color="9A9A9A"/>
            </w:tcBorders>
            <w:shd w:val="clear" w:color="auto" w:fill="E3F2FD"/>
            <w:tcMar>
              <w:top w:w="80" w:type="dxa"/>
              <w:left w:w="120" w:type="dxa"/>
              <w:bottom w:w="80" w:type="dxa"/>
              <w:right w:w="120" w:type="dxa"/>
            </w:tcMar>
            <w:vAlign w:val="center"/>
          </w:tcPr>
          <w:p w14:paraId="461782CE" w14:textId="77777777" w:rsidR="00A31E0C" w:rsidRDefault="00570A23">
            <w:r>
              <w:rPr>
                <w:b/>
                <w:bCs/>
                <w:color w:val="1A1A1A"/>
                <w:sz w:val="20"/>
                <w:szCs w:val="20"/>
              </w:rPr>
              <w:t>Unsure</w:t>
            </w:r>
          </w:p>
        </w:tc>
        <w:tc>
          <w:tcPr>
            <w:tcW w:w="32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0F01F72D" w14:textId="77777777" w:rsidR="00A31E0C" w:rsidRDefault="00570A23">
            <w:r>
              <w:rPr>
                <w:color w:val="1A1A1A"/>
                <w:sz w:val="20"/>
                <w:szCs w:val="20"/>
              </w:rPr>
              <w:t>Nobody at the table is certain whether the data flows. This is the most strategically significant indicator — it means a decision is being made without knowing whether the inputs arrived.</w:t>
            </w:r>
          </w:p>
        </w:tc>
        <w:tc>
          <w:tcPr>
            <w:tcW w:w="35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597420C2" w14:textId="77777777" w:rsidR="00A31E0C" w:rsidRDefault="00570A23">
            <w:r>
              <w:rPr>
                <w:i/>
                <w:iCs/>
                <w:color w:val="1A1A1A"/>
                <w:sz w:val="20"/>
                <w:szCs w:val="20"/>
              </w:rPr>
              <w:t>Does Risk receive real-time fraud signals from GK One activity in Guyana? Nobody at this table can confirm. Mark it ?.</w:t>
            </w:r>
          </w:p>
        </w:tc>
      </w:tr>
    </w:tbl>
    <w:p w14:paraId="0D47ED26" w14:textId="77777777" w:rsidR="00A31E0C" w:rsidRDefault="00A31E0C">
      <w:pPr>
        <w:spacing w:before="120" w:after="120"/>
      </w:pPr>
    </w:p>
    <w:p w14:paraId="1B618314" w14:textId="77777777" w:rsidR="00A31E0C" w:rsidRDefault="00570A23">
      <w:pPr>
        <w:pBdr>
          <w:left w:val="single" w:sz="18" w:space="12" w:color="C8102E"/>
        </w:pBdr>
        <w:spacing w:before="100" w:after="160"/>
        <w:ind w:left="360"/>
      </w:pPr>
      <w:r>
        <w:rPr>
          <w:b/>
          <w:bCs/>
          <w:color w:val="C8102E"/>
        </w:rPr>
        <w:t xml:space="preserve">Why '?' is the most important mark: </w:t>
      </w:r>
      <w:r>
        <w:t xml:space="preserve">Every '?' is a leadership signal: a decision is being made somewhere in the enterprise without confirmation that the supporting information </w:t>
      </w:r>
      <w:proofErr w:type="gramStart"/>
      <w:r>
        <w:t>actually arrived</w:t>
      </w:r>
      <w:proofErr w:type="gramEnd"/>
      <w:r>
        <w:t xml:space="preserve">. A known gap can be closed. An unknown gap cannot. The exercise is searching for question marks just as much as it is searching for </w:t>
      </w:r>
      <w:proofErr w:type="gramStart"/>
      <w:r>
        <w:t>X's</w:t>
      </w:r>
      <w:proofErr w:type="gramEnd"/>
      <w:r>
        <w:t>.</w:t>
      </w:r>
    </w:p>
    <w:p w14:paraId="06EE598E" w14:textId="77777777" w:rsidR="00A31E0C" w:rsidRDefault="00570A23">
      <w:r>
        <w:br w:type="page"/>
      </w:r>
    </w:p>
    <w:p w14:paraId="00EE5469" w14:textId="77777777" w:rsidR="00A31E0C" w:rsidRDefault="00570A23">
      <w:pPr>
        <w:pStyle w:val="Heading1"/>
      </w:pPr>
      <w:r>
        <w:lastRenderedPageBreak/>
        <w:t>Section 2 — Build the Alignment Grid</w:t>
      </w:r>
    </w:p>
    <w:p w14:paraId="5228FFFC" w14:textId="77777777" w:rsidR="00A31E0C" w:rsidRDefault="00570A23">
      <w:pPr>
        <w:spacing w:after="120"/>
      </w:pPr>
      <w:r>
        <w:t xml:space="preserve">Your table fills in the master Grid on the Worksheet. Use the private grid on the next two pages to mark your own view first. The contrast between your view and your table's view is itself useful — both for honesty (where am I being told 'we get that' when I personally don't?) and for the Pledge (where do I see a gap </w:t>
      </w:r>
      <w:proofErr w:type="gramStart"/>
      <w:r>
        <w:t>others</w:t>
      </w:r>
      <w:proofErr w:type="gramEnd"/>
      <w:r>
        <w:t xml:space="preserve"> don't?).</w:t>
      </w:r>
    </w:p>
    <w:p w14:paraId="09F13719" w14:textId="77777777" w:rsidR="00A31E0C" w:rsidRDefault="00570A23">
      <w:pPr>
        <w:pStyle w:val="Heading2"/>
      </w:pPr>
      <w:r>
        <w:t>The Question for Every Cell</w:t>
      </w:r>
    </w:p>
    <w:p w14:paraId="05DB8324" w14:textId="77777777" w:rsidR="00A31E0C" w:rsidRDefault="00570A23">
      <w:pPr>
        <w:pBdr>
          <w:left w:val="single" w:sz="18" w:space="12" w:color="8B0E22"/>
        </w:pBdr>
        <w:spacing w:before="100" w:after="160"/>
        <w:ind w:left="360"/>
      </w:pPr>
      <w:r>
        <w:rPr>
          <w:b/>
          <w:bCs/>
          <w:color w:val="8B0E22"/>
        </w:rPr>
        <w:t xml:space="preserve">Ask, for each row → column: </w:t>
      </w:r>
      <w:r>
        <w:t xml:space="preserve">“What does this function (row) need from that function (column) to make better decisions — and are we getting it?” Mark ✓, ◐, ✗, </w:t>
      </w:r>
      <w:proofErr w:type="gramStart"/>
      <w:r>
        <w:t>or ?</w:t>
      </w:r>
      <w:proofErr w:type="gramEnd"/>
      <w:r>
        <w:t>. One mark per cell. Diagonal cells are not used (a function does not have a data dependency on itself).</w:t>
      </w:r>
    </w:p>
    <w:p w14:paraId="5142B360" w14:textId="77777777" w:rsidR="00A31E0C" w:rsidRDefault="00570A23">
      <w:pPr>
        <w:pStyle w:val="Heading2"/>
      </w:pPr>
      <w:r>
        <w:t>Reading Direction</w:t>
      </w:r>
    </w:p>
    <w:p w14:paraId="06E845AA" w14:textId="77777777" w:rsidR="00A31E0C" w:rsidRDefault="00570A23">
      <w:pPr>
        <w:pStyle w:val="ListParagraph"/>
        <w:numPr>
          <w:ilvl w:val="0"/>
          <w:numId w:val="2"/>
        </w:numPr>
        <w:spacing w:after="80"/>
      </w:pPr>
      <w:r>
        <w:rPr>
          <w:b/>
          <w:bCs/>
        </w:rPr>
        <w:t xml:space="preserve">Rows are the consumers. </w:t>
      </w:r>
      <w:r>
        <w:t>The function in the row needs data.</w:t>
      </w:r>
    </w:p>
    <w:p w14:paraId="17C551CB" w14:textId="77777777" w:rsidR="00A31E0C" w:rsidRDefault="00570A23">
      <w:pPr>
        <w:pStyle w:val="ListParagraph"/>
        <w:numPr>
          <w:ilvl w:val="0"/>
          <w:numId w:val="2"/>
        </w:numPr>
        <w:spacing w:after="80"/>
      </w:pPr>
      <w:r>
        <w:rPr>
          <w:b/>
          <w:bCs/>
        </w:rPr>
        <w:t xml:space="preserve">Columns are the producers. </w:t>
      </w:r>
      <w:r>
        <w:t>The function in the column would provide that data.</w:t>
      </w:r>
    </w:p>
    <w:p w14:paraId="07DF93B8" w14:textId="77777777" w:rsidR="00A31E0C" w:rsidRDefault="00570A23">
      <w:pPr>
        <w:pStyle w:val="ListParagraph"/>
        <w:numPr>
          <w:ilvl w:val="0"/>
          <w:numId w:val="2"/>
        </w:numPr>
        <w:spacing w:after="80"/>
      </w:pPr>
      <w:r>
        <w:rPr>
          <w:b/>
          <w:bCs/>
        </w:rPr>
        <w:t xml:space="preserve">Example: </w:t>
      </w:r>
      <w:r>
        <w:t>Row = Banking, Column = Insurance → "What does Banking need from Insurance to make better decisions?" Possibly: parish-level claims exposure that would inform credit underwriting in affected areas.</w:t>
      </w:r>
    </w:p>
    <w:p w14:paraId="2732AB73" w14:textId="77777777" w:rsidR="00A31E0C" w:rsidRDefault="00570A23">
      <w:pPr>
        <w:pStyle w:val="Heading2"/>
      </w:pPr>
      <w:r>
        <w:t>Honesty Over Completeness</w:t>
      </w:r>
    </w:p>
    <w:p w14:paraId="5DE817B1" w14:textId="77777777" w:rsidR="00A31E0C" w:rsidRDefault="00570A23">
      <w:pPr>
        <w:spacing w:after="120"/>
      </w:pPr>
      <w:r>
        <w:t xml:space="preserve">If you cannot </w:t>
      </w:r>
      <w:proofErr w:type="gramStart"/>
      <w:r>
        <w:t>answer for</w:t>
      </w:r>
      <w:proofErr w:type="gramEnd"/>
      <w:r>
        <w:t xml:space="preserve"> a </w:t>
      </w:r>
      <w:proofErr w:type="gramStart"/>
      <w:r>
        <w:t>cell</w:t>
      </w:r>
      <w:proofErr w:type="gramEnd"/>
      <w:r>
        <w:t>, mark it '?'. Do not guess. Do not decorate. A grid full of '?' marks is more useful than a grid full of unwarranted checkmarks.</w:t>
      </w:r>
    </w:p>
    <w:p w14:paraId="2BE1D4FE" w14:textId="77777777" w:rsidR="00A31E0C" w:rsidRDefault="00A31E0C">
      <w:pPr>
        <w:sectPr w:rsidR="00A31E0C">
          <w:headerReference w:type="default" r:id="rId7"/>
          <w:footerReference w:type="default" r:id="rId8"/>
          <w:pgSz w:w="12240" w:h="15840"/>
          <w:pgMar w:top="1440" w:right="1440" w:bottom="1440" w:left="1440" w:header="708" w:footer="708" w:gutter="0"/>
          <w:cols w:space="720"/>
          <w:docGrid w:linePitch="360"/>
        </w:sectPr>
      </w:pPr>
    </w:p>
    <w:p w14:paraId="11B4D923" w14:textId="77777777" w:rsidR="00A31E0C" w:rsidRDefault="00570A23">
      <w:pPr>
        <w:spacing w:after="160"/>
      </w:pPr>
      <w:r>
        <w:rPr>
          <w:b/>
          <w:bCs/>
          <w:color w:val="C8102E"/>
          <w:sz w:val="36"/>
          <w:szCs w:val="36"/>
        </w:rPr>
        <w:lastRenderedPageBreak/>
        <w:t>The Alignment Grid — My Private View</w:t>
      </w:r>
    </w:p>
    <w:p w14:paraId="61FAC46B" w14:textId="77777777" w:rsidR="00A31E0C" w:rsidRDefault="00570A23">
      <w:pPr>
        <w:spacing w:after="200"/>
      </w:pPr>
      <w:r>
        <w:rPr>
          <w:i/>
          <w:iCs/>
          <w:color w:val="555555"/>
          <w:sz w:val="18"/>
          <w:szCs w:val="18"/>
        </w:rPr>
        <w:t xml:space="preserve">Row = the function that NEEDS data.  Column = the function that PROVIDES it.  Mark ✓ ◐ </w:t>
      </w:r>
      <w:proofErr w:type="gramStart"/>
      <w:r>
        <w:rPr>
          <w:i/>
          <w:iCs/>
          <w:color w:val="555555"/>
          <w:sz w:val="18"/>
          <w:szCs w:val="18"/>
        </w:rPr>
        <w:t>✗</w:t>
      </w:r>
      <w:r>
        <w:rPr>
          <w:i/>
          <w:iCs/>
          <w:color w:val="555555"/>
          <w:sz w:val="18"/>
          <w:szCs w:val="18"/>
        </w:rPr>
        <w:t xml:space="preserve"> ?</w:t>
      </w:r>
      <w:proofErr w:type="gramEnd"/>
      <w:r>
        <w:rPr>
          <w:i/>
          <w:iCs/>
          <w:color w:val="555555"/>
          <w:sz w:val="18"/>
          <w:szCs w:val="18"/>
        </w:rPr>
        <w:t xml:space="preserve"> in each off-diagonal cell.</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gridCol w:w="1200"/>
        <w:gridCol w:w="1200"/>
        <w:gridCol w:w="1200"/>
      </w:tblGrid>
      <w:tr w:rsidR="00A31E0C" w14:paraId="5FBC6ED8" w14:textId="77777777">
        <w:tblPrEx>
          <w:tblCellMar>
            <w:top w:w="0" w:type="dxa"/>
            <w:bottom w:w="0" w:type="dxa"/>
          </w:tblCellMar>
        </w:tblPrEx>
        <w:trPr>
          <w:tblHeader/>
        </w:trPr>
        <w:tc>
          <w:tcPr>
            <w:tcW w:w="2160" w:type="dxa"/>
            <w:tcBorders>
              <w:top w:val="single" w:sz="6" w:space="0" w:color="9A9A9A"/>
              <w:left w:val="single" w:sz="6" w:space="0" w:color="9A9A9A"/>
              <w:bottom w:val="single" w:sz="6" w:space="0" w:color="9A9A9A"/>
              <w:right w:val="single" w:sz="6" w:space="0" w:color="9A9A9A"/>
            </w:tcBorders>
            <w:shd w:val="clear" w:color="auto" w:fill="1A1A1A"/>
            <w:tcMar>
              <w:top w:w="80" w:type="dxa"/>
              <w:left w:w="80" w:type="dxa"/>
              <w:bottom w:w="80" w:type="dxa"/>
              <w:right w:w="80" w:type="dxa"/>
            </w:tcMar>
            <w:vAlign w:val="center"/>
          </w:tcPr>
          <w:p w14:paraId="6C4E1941" w14:textId="77777777" w:rsidR="00A31E0C" w:rsidRDefault="00570A23">
            <w:pPr>
              <w:jc w:val="center"/>
            </w:pPr>
            <w:r>
              <w:rPr>
                <w:b/>
                <w:bCs/>
                <w:i/>
                <w:iCs/>
                <w:color w:val="FFFFFF"/>
                <w:sz w:val="16"/>
                <w:szCs w:val="16"/>
              </w:rPr>
              <w:t>Row needs from →</w:t>
            </w:r>
          </w:p>
          <w:p w14:paraId="0B2BD165" w14:textId="77777777" w:rsidR="00A31E0C" w:rsidRDefault="00570A23">
            <w:pPr>
              <w:jc w:val="center"/>
            </w:pPr>
            <w:r>
              <w:rPr>
                <w:b/>
                <w:bCs/>
                <w:i/>
                <w:iCs/>
                <w:color w:val="FFFFFF"/>
                <w:sz w:val="16"/>
                <w:szCs w:val="16"/>
              </w:rPr>
              <w:t>↓ Column provides</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2B0CD00E" w14:textId="77777777" w:rsidR="00A31E0C" w:rsidRDefault="00570A23">
            <w:pPr>
              <w:jc w:val="center"/>
            </w:pPr>
            <w:r>
              <w:rPr>
                <w:b/>
                <w:bCs/>
                <w:color w:val="FFFFFF"/>
                <w:sz w:val="16"/>
                <w:szCs w:val="16"/>
              </w:rPr>
              <w:t>Banking</w:t>
            </w:r>
          </w:p>
          <w:p w14:paraId="2596840D" w14:textId="77777777" w:rsidR="00A31E0C" w:rsidRDefault="00570A23">
            <w:pPr>
              <w:jc w:val="center"/>
            </w:pPr>
            <w:r>
              <w:rPr>
                <w:b/>
                <w:bCs/>
                <w:color w:val="FFFFFF"/>
                <w:sz w:val="16"/>
                <w:szCs w:val="16"/>
              </w:rPr>
              <w:t>(FGB)</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1A54ADD5" w14:textId="77777777" w:rsidR="00A31E0C" w:rsidRDefault="00570A23">
            <w:pPr>
              <w:jc w:val="center"/>
            </w:pPr>
            <w:r>
              <w:rPr>
                <w:b/>
                <w:bCs/>
                <w:color w:val="FFFFFF"/>
                <w:sz w:val="16"/>
                <w:szCs w:val="16"/>
              </w:rPr>
              <w:t>Insurance</w:t>
            </w:r>
          </w:p>
          <w:p w14:paraId="3D9D8651" w14:textId="77777777" w:rsidR="00A31E0C" w:rsidRDefault="00570A23">
            <w:pPr>
              <w:jc w:val="center"/>
            </w:pPr>
            <w:r>
              <w:rPr>
                <w:b/>
                <w:bCs/>
                <w:color w:val="FFFFFF"/>
                <w:sz w:val="16"/>
                <w:szCs w:val="16"/>
              </w:rPr>
              <w:t>(GKGI)</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5F36A545" w14:textId="77777777" w:rsidR="00A31E0C" w:rsidRDefault="00570A23">
            <w:pPr>
              <w:jc w:val="center"/>
            </w:pPr>
            <w:r>
              <w:rPr>
                <w:b/>
                <w:bCs/>
                <w:color w:val="FFFFFF"/>
                <w:sz w:val="16"/>
                <w:szCs w:val="16"/>
              </w:rPr>
              <w:t>Money Services</w:t>
            </w:r>
          </w:p>
          <w:p w14:paraId="4E6F2BB8" w14:textId="77777777" w:rsidR="00A31E0C" w:rsidRDefault="00570A23">
            <w:pPr>
              <w:jc w:val="center"/>
            </w:pPr>
            <w:r>
              <w:rPr>
                <w:b/>
                <w:bCs/>
                <w:color w:val="FFFFFF"/>
                <w:sz w:val="16"/>
                <w:szCs w:val="16"/>
              </w:rPr>
              <w:t>(GKMS / GK One)</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19ED2204" w14:textId="77777777" w:rsidR="00A31E0C" w:rsidRDefault="00570A23">
            <w:pPr>
              <w:jc w:val="center"/>
            </w:pPr>
            <w:r>
              <w:rPr>
                <w:b/>
                <w:bCs/>
                <w:color w:val="FFFFFF"/>
                <w:sz w:val="16"/>
                <w:szCs w:val="16"/>
              </w:rPr>
              <w:t>Risk</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393EA3B5" w14:textId="77777777" w:rsidR="00A31E0C" w:rsidRDefault="00570A23">
            <w:pPr>
              <w:jc w:val="center"/>
            </w:pPr>
            <w:r>
              <w:rPr>
                <w:b/>
                <w:bCs/>
                <w:color w:val="FFFFFF"/>
                <w:sz w:val="16"/>
                <w:szCs w:val="16"/>
              </w:rPr>
              <w:t>Compliance</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331B2FB2" w14:textId="77777777" w:rsidR="00A31E0C" w:rsidRDefault="00570A23">
            <w:pPr>
              <w:jc w:val="center"/>
            </w:pPr>
            <w:r>
              <w:rPr>
                <w:b/>
                <w:bCs/>
                <w:color w:val="FFFFFF"/>
                <w:sz w:val="16"/>
                <w:szCs w:val="16"/>
              </w:rPr>
              <w:t>Technology</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35018A72" w14:textId="77777777" w:rsidR="00A31E0C" w:rsidRDefault="00570A23">
            <w:pPr>
              <w:jc w:val="center"/>
            </w:pPr>
            <w:r>
              <w:rPr>
                <w:b/>
                <w:bCs/>
                <w:color w:val="FFFFFF"/>
                <w:sz w:val="16"/>
                <w:szCs w:val="16"/>
              </w:rPr>
              <w:t>HR</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1728F588" w14:textId="77777777" w:rsidR="00A31E0C" w:rsidRDefault="00570A23">
            <w:pPr>
              <w:jc w:val="center"/>
            </w:pPr>
            <w:r>
              <w:rPr>
                <w:b/>
                <w:bCs/>
                <w:color w:val="FFFFFF"/>
                <w:sz w:val="16"/>
                <w:szCs w:val="16"/>
              </w:rPr>
              <w:t>Finance</w:t>
            </w:r>
          </w:p>
        </w:tc>
        <w:tc>
          <w:tcPr>
            <w:tcW w:w="12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80" w:type="dxa"/>
              <w:bottom w:w="80" w:type="dxa"/>
              <w:right w:w="80" w:type="dxa"/>
            </w:tcMar>
            <w:vAlign w:val="center"/>
          </w:tcPr>
          <w:p w14:paraId="19602C23" w14:textId="77777777" w:rsidR="00A31E0C" w:rsidRDefault="00570A23">
            <w:pPr>
              <w:jc w:val="center"/>
            </w:pPr>
            <w:r>
              <w:rPr>
                <w:b/>
                <w:bCs/>
                <w:color w:val="FFFFFF"/>
                <w:sz w:val="16"/>
                <w:szCs w:val="16"/>
              </w:rPr>
              <w:t>Customer</w:t>
            </w:r>
          </w:p>
          <w:p w14:paraId="198A0A5E" w14:textId="77777777" w:rsidR="00A31E0C" w:rsidRDefault="00570A23">
            <w:pPr>
              <w:jc w:val="center"/>
            </w:pPr>
            <w:r>
              <w:rPr>
                <w:b/>
                <w:bCs/>
                <w:color w:val="FFFFFF"/>
                <w:sz w:val="16"/>
                <w:szCs w:val="16"/>
              </w:rPr>
              <w:t>Experience</w:t>
            </w:r>
          </w:p>
        </w:tc>
      </w:tr>
      <w:tr w:rsidR="00A31E0C" w14:paraId="09DCB8CB"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5AF5453C" w14:textId="77777777" w:rsidR="00A31E0C" w:rsidRDefault="00570A23">
            <w:r>
              <w:rPr>
                <w:b/>
                <w:bCs/>
                <w:color w:val="1A1A1A"/>
                <w:sz w:val="18"/>
                <w:szCs w:val="18"/>
              </w:rPr>
              <w:t>Banking</w:t>
            </w:r>
          </w:p>
          <w:p w14:paraId="0E6DF6CD" w14:textId="77777777" w:rsidR="00A31E0C" w:rsidRDefault="00570A23">
            <w:r>
              <w:rPr>
                <w:b/>
                <w:bCs/>
                <w:color w:val="1A1A1A"/>
                <w:sz w:val="18"/>
                <w:szCs w:val="18"/>
              </w:rPr>
              <w:t>(FGB)</w:t>
            </w: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2BA1CE72"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979B930"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DC2551B"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347D197"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5404D1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EDA773E"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E1D8A72"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E551A3E"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1DCACC5" w14:textId="77777777" w:rsidR="00A31E0C" w:rsidRDefault="00A31E0C">
            <w:pPr>
              <w:jc w:val="center"/>
            </w:pPr>
          </w:p>
        </w:tc>
      </w:tr>
      <w:tr w:rsidR="00A31E0C" w14:paraId="512986BC"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73A9F233" w14:textId="77777777" w:rsidR="00A31E0C" w:rsidRDefault="00570A23">
            <w:r>
              <w:rPr>
                <w:b/>
                <w:bCs/>
                <w:color w:val="1A1A1A"/>
                <w:sz w:val="18"/>
                <w:szCs w:val="18"/>
              </w:rPr>
              <w:t>Insurance</w:t>
            </w:r>
          </w:p>
          <w:p w14:paraId="59BD9709" w14:textId="77777777" w:rsidR="00A31E0C" w:rsidRDefault="00570A23">
            <w:r>
              <w:rPr>
                <w:b/>
                <w:bCs/>
                <w:color w:val="1A1A1A"/>
                <w:sz w:val="18"/>
                <w:szCs w:val="18"/>
              </w:rPr>
              <w:t>(GKGI)</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958236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2552751E"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763C5CE"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9A85BBB"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AD4045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2B7CE6E"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07734B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82E39C2"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06A82D2" w14:textId="77777777" w:rsidR="00A31E0C" w:rsidRDefault="00A31E0C">
            <w:pPr>
              <w:jc w:val="center"/>
            </w:pPr>
          </w:p>
        </w:tc>
      </w:tr>
      <w:tr w:rsidR="00A31E0C" w14:paraId="420B5E0F"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4122A8F9" w14:textId="77777777" w:rsidR="00A31E0C" w:rsidRDefault="00570A23">
            <w:r>
              <w:rPr>
                <w:b/>
                <w:bCs/>
                <w:color w:val="1A1A1A"/>
                <w:sz w:val="18"/>
                <w:szCs w:val="18"/>
              </w:rPr>
              <w:t>Money Services</w:t>
            </w:r>
          </w:p>
          <w:p w14:paraId="69B927A7" w14:textId="77777777" w:rsidR="00A31E0C" w:rsidRDefault="00570A23">
            <w:r>
              <w:rPr>
                <w:b/>
                <w:bCs/>
                <w:color w:val="1A1A1A"/>
                <w:sz w:val="18"/>
                <w:szCs w:val="18"/>
              </w:rPr>
              <w:t>(GKMS / GK One)</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F3331A4"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A046A12"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46661A5E"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60E5C3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FF4A28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70C6BEF"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295ADED"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33E51D7"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8D6586F" w14:textId="77777777" w:rsidR="00A31E0C" w:rsidRDefault="00A31E0C">
            <w:pPr>
              <w:jc w:val="center"/>
            </w:pPr>
          </w:p>
        </w:tc>
      </w:tr>
      <w:tr w:rsidR="00A31E0C" w14:paraId="2B60A6D4"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49244715" w14:textId="77777777" w:rsidR="00A31E0C" w:rsidRDefault="00570A23">
            <w:r>
              <w:rPr>
                <w:b/>
                <w:bCs/>
                <w:color w:val="1A1A1A"/>
                <w:sz w:val="18"/>
                <w:szCs w:val="18"/>
              </w:rPr>
              <w:t>Risk</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FC7BE1C"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CD4E49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E52DD2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1BFA3E7D"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A3C12C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DA9668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6CF747C"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FB45CF0"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55E3D41" w14:textId="77777777" w:rsidR="00A31E0C" w:rsidRDefault="00A31E0C">
            <w:pPr>
              <w:jc w:val="center"/>
            </w:pPr>
          </w:p>
        </w:tc>
      </w:tr>
      <w:tr w:rsidR="00A31E0C" w14:paraId="18E59A34"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35ECE00B" w14:textId="77777777" w:rsidR="00A31E0C" w:rsidRDefault="00570A23">
            <w:r>
              <w:rPr>
                <w:b/>
                <w:bCs/>
                <w:color w:val="1A1A1A"/>
                <w:sz w:val="18"/>
                <w:szCs w:val="18"/>
              </w:rPr>
              <w:t>Compliance</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B5BD55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D147884"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5606134"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D7DEE7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03323EA0"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999291D"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3CAFEB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D9AF11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C202985" w14:textId="77777777" w:rsidR="00A31E0C" w:rsidRDefault="00A31E0C">
            <w:pPr>
              <w:jc w:val="center"/>
            </w:pPr>
          </w:p>
        </w:tc>
      </w:tr>
      <w:tr w:rsidR="00A31E0C" w14:paraId="239B61CA"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3B5969EC" w14:textId="77777777" w:rsidR="00A31E0C" w:rsidRDefault="00570A23">
            <w:r>
              <w:rPr>
                <w:b/>
                <w:bCs/>
                <w:color w:val="1A1A1A"/>
                <w:sz w:val="18"/>
                <w:szCs w:val="18"/>
              </w:rPr>
              <w:t>Technology</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04162F1"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77D9A16"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88CEC1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149639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77DF3F7"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16052459"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E50271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3F8CFD6"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B4A11D8" w14:textId="77777777" w:rsidR="00A31E0C" w:rsidRDefault="00A31E0C">
            <w:pPr>
              <w:jc w:val="center"/>
            </w:pPr>
          </w:p>
        </w:tc>
      </w:tr>
      <w:tr w:rsidR="00A31E0C" w14:paraId="5560B6DB"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1B033F74" w14:textId="77777777" w:rsidR="00A31E0C" w:rsidRDefault="00570A23">
            <w:r>
              <w:rPr>
                <w:b/>
                <w:bCs/>
                <w:color w:val="1A1A1A"/>
                <w:sz w:val="18"/>
                <w:szCs w:val="18"/>
              </w:rPr>
              <w:t>HR</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6A5FA0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876349E"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9CD42D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28A7A8B"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58BD5B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0921E80"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40A8F29C"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C7029E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6047DF3" w14:textId="77777777" w:rsidR="00A31E0C" w:rsidRDefault="00A31E0C">
            <w:pPr>
              <w:jc w:val="center"/>
            </w:pPr>
          </w:p>
        </w:tc>
      </w:tr>
      <w:tr w:rsidR="00A31E0C" w14:paraId="574790A7"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7A53D8C1" w14:textId="77777777" w:rsidR="00A31E0C" w:rsidRDefault="00570A23">
            <w:r>
              <w:rPr>
                <w:b/>
                <w:bCs/>
                <w:color w:val="1A1A1A"/>
                <w:sz w:val="18"/>
                <w:szCs w:val="18"/>
              </w:rPr>
              <w:t>Finance</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7DAF6536"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CCAC79F"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1A58F41C"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1998560"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99E9E5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52D9A71"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318AC04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32FF8531" w14:textId="77777777" w:rsidR="00A31E0C" w:rsidRDefault="00570A23">
            <w:pPr>
              <w:jc w:val="center"/>
            </w:pPr>
            <w:r>
              <w:rPr>
                <w:b/>
                <w:bCs/>
                <w:color w:val="707070"/>
                <w:sz w:val="24"/>
                <w:szCs w:val="24"/>
              </w:rPr>
              <w:t>—</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0FA56605" w14:textId="77777777" w:rsidR="00A31E0C" w:rsidRDefault="00A31E0C">
            <w:pPr>
              <w:jc w:val="center"/>
            </w:pPr>
          </w:p>
        </w:tc>
      </w:tr>
      <w:tr w:rsidR="00A31E0C" w14:paraId="55CAC4E6" w14:textId="77777777">
        <w:tblPrEx>
          <w:tblCellMar>
            <w:top w:w="0" w:type="dxa"/>
            <w:bottom w:w="0" w:type="dxa"/>
          </w:tblCellMar>
        </w:tblPrEx>
        <w:tc>
          <w:tcPr>
            <w:tcW w:w="2160" w:type="dxa"/>
            <w:tcBorders>
              <w:top w:val="single" w:sz="6" w:space="0" w:color="9A9A9A"/>
              <w:left w:val="single" w:sz="6" w:space="0" w:color="9A9A9A"/>
              <w:bottom w:val="single" w:sz="6" w:space="0" w:color="9A9A9A"/>
              <w:right w:val="single" w:sz="6" w:space="0" w:color="9A9A9A"/>
            </w:tcBorders>
            <w:shd w:val="clear" w:color="auto" w:fill="FBEEF0"/>
            <w:tcMar>
              <w:top w:w="100" w:type="dxa"/>
              <w:left w:w="140" w:type="dxa"/>
              <w:bottom w:w="100" w:type="dxa"/>
              <w:right w:w="100" w:type="dxa"/>
            </w:tcMar>
            <w:vAlign w:val="center"/>
          </w:tcPr>
          <w:p w14:paraId="6F853167" w14:textId="77777777" w:rsidR="00A31E0C" w:rsidRDefault="00570A23">
            <w:r>
              <w:rPr>
                <w:b/>
                <w:bCs/>
                <w:color w:val="1A1A1A"/>
                <w:sz w:val="18"/>
                <w:szCs w:val="18"/>
              </w:rPr>
              <w:t>Customer</w:t>
            </w:r>
          </w:p>
          <w:p w14:paraId="63C53B58" w14:textId="77777777" w:rsidR="00A31E0C" w:rsidRDefault="00570A23">
            <w:r>
              <w:rPr>
                <w:b/>
                <w:bCs/>
                <w:color w:val="1A1A1A"/>
                <w:sz w:val="18"/>
                <w:szCs w:val="18"/>
              </w:rPr>
              <w:t>Experience</w:t>
            </w: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08293C9"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C6C4050"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FEC230A"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510918A3"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5031588"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425DE6F6"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27723C11"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tcMar>
              <w:top w:w="200" w:type="dxa"/>
              <w:left w:w="80" w:type="dxa"/>
              <w:bottom w:w="200" w:type="dxa"/>
              <w:right w:w="80" w:type="dxa"/>
            </w:tcMar>
            <w:vAlign w:val="center"/>
          </w:tcPr>
          <w:p w14:paraId="647723B4" w14:textId="77777777" w:rsidR="00A31E0C" w:rsidRDefault="00A31E0C">
            <w:pPr>
              <w:jc w:val="center"/>
            </w:pPr>
          </w:p>
        </w:tc>
        <w:tc>
          <w:tcPr>
            <w:tcW w:w="1200" w:type="dxa"/>
            <w:tcBorders>
              <w:top w:val="single" w:sz="6" w:space="0" w:color="9A9A9A"/>
              <w:left w:val="single" w:sz="6" w:space="0" w:color="9A9A9A"/>
              <w:bottom w:val="single" w:sz="6" w:space="0" w:color="9A9A9A"/>
              <w:right w:val="single" w:sz="6" w:space="0" w:color="9A9A9A"/>
            </w:tcBorders>
            <w:shd w:val="clear" w:color="auto" w:fill="C0C0C0"/>
            <w:tcMar>
              <w:top w:w="200" w:type="dxa"/>
              <w:left w:w="80" w:type="dxa"/>
              <w:bottom w:w="200" w:type="dxa"/>
              <w:right w:w="80" w:type="dxa"/>
            </w:tcMar>
            <w:vAlign w:val="center"/>
          </w:tcPr>
          <w:p w14:paraId="49A18DD3" w14:textId="77777777" w:rsidR="00A31E0C" w:rsidRDefault="00570A23">
            <w:pPr>
              <w:jc w:val="center"/>
            </w:pPr>
            <w:r>
              <w:rPr>
                <w:b/>
                <w:bCs/>
                <w:color w:val="707070"/>
                <w:sz w:val="24"/>
                <w:szCs w:val="24"/>
              </w:rPr>
              <w:t>—</w:t>
            </w:r>
          </w:p>
        </w:tc>
      </w:tr>
    </w:tbl>
    <w:p w14:paraId="5EF07EF3" w14:textId="77777777" w:rsidR="00A31E0C" w:rsidRDefault="00570A23">
      <w:pPr>
        <w:spacing w:before="160"/>
      </w:pPr>
      <w:r>
        <w:rPr>
          <w:b/>
          <w:bCs/>
          <w:color w:val="555555"/>
          <w:sz w:val="18"/>
          <w:szCs w:val="18"/>
        </w:rPr>
        <w:t xml:space="preserve">Key:  </w:t>
      </w:r>
      <w:r>
        <w:rPr>
          <w:b/>
          <w:bCs/>
          <w:color w:val="2E7D32"/>
          <w:sz w:val="18"/>
          <w:szCs w:val="18"/>
        </w:rPr>
        <w:t>✓</w:t>
      </w:r>
      <w:r>
        <w:rPr>
          <w:b/>
          <w:bCs/>
          <w:color w:val="2E7D32"/>
          <w:sz w:val="18"/>
          <w:szCs w:val="18"/>
        </w:rPr>
        <w:t xml:space="preserve"> Getting it    </w:t>
      </w:r>
      <w:r>
        <w:rPr>
          <w:b/>
          <w:bCs/>
          <w:color w:val="F57F17"/>
          <w:sz w:val="18"/>
          <w:szCs w:val="18"/>
        </w:rPr>
        <w:t xml:space="preserve">◐ Partial    </w:t>
      </w:r>
      <w:r>
        <w:rPr>
          <w:b/>
          <w:bCs/>
          <w:color w:val="C62828"/>
          <w:sz w:val="18"/>
          <w:szCs w:val="18"/>
        </w:rPr>
        <w:t>✗</w:t>
      </w:r>
      <w:r>
        <w:rPr>
          <w:b/>
          <w:bCs/>
          <w:color w:val="C62828"/>
          <w:sz w:val="18"/>
          <w:szCs w:val="18"/>
        </w:rPr>
        <w:t xml:space="preserve"> Not getting it  </w:t>
      </w:r>
      <w:proofErr w:type="gramStart"/>
      <w:r>
        <w:rPr>
          <w:b/>
          <w:bCs/>
          <w:color w:val="C62828"/>
          <w:sz w:val="18"/>
          <w:szCs w:val="18"/>
        </w:rPr>
        <w:t xml:space="preserve">  </w:t>
      </w:r>
      <w:r>
        <w:rPr>
          <w:b/>
          <w:bCs/>
          <w:color w:val="0D47A1"/>
          <w:sz w:val="18"/>
          <w:szCs w:val="18"/>
        </w:rPr>
        <w:t>?</w:t>
      </w:r>
      <w:proofErr w:type="gramEnd"/>
      <w:r>
        <w:rPr>
          <w:b/>
          <w:bCs/>
          <w:color w:val="0D47A1"/>
          <w:sz w:val="18"/>
          <w:szCs w:val="18"/>
        </w:rPr>
        <w:t xml:space="preserve"> Unsure</w:t>
      </w:r>
    </w:p>
    <w:p w14:paraId="4B43107C" w14:textId="77777777" w:rsidR="00A31E0C" w:rsidRDefault="00A31E0C">
      <w:pPr>
        <w:sectPr w:rsidR="00A31E0C">
          <w:headerReference w:type="default" r:id="rId9"/>
          <w:footerReference w:type="default" r:id="rId10"/>
          <w:pgSz w:w="15840" w:h="12240" w:orient="landscape"/>
          <w:pgMar w:top="1080" w:right="1440" w:bottom="1080" w:left="1440" w:header="708" w:footer="708" w:gutter="0"/>
          <w:cols w:space="720"/>
          <w:docGrid w:linePitch="360"/>
        </w:sectPr>
      </w:pPr>
    </w:p>
    <w:p w14:paraId="66DC4793" w14:textId="77777777" w:rsidR="00A31E0C" w:rsidRDefault="00570A23">
      <w:pPr>
        <w:pStyle w:val="Heading1"/>
      </w:pPr>
      <w:r>
        <w:lastRenderedPageBreak/>
        <w:t>Section 3 — Read-Out Capture</w:t>
      </w:r>
    </w:p>
    <w:p w14:paraId="2BB2CD23" w14:textId="77777777" w:rsidR="00A31E0C" w:rsidRDefault="00570A23">
      <w:pPr>
        <w:spacing w:after="120"/>
      </w:pPr>
      <w:r>
        <w:t>As other tables read out their top gap, capture the cells that surprise you. The pattern in the room — convergent, divergent, or unique — is the actual finding.</w:t>
      </w:r>
    </w:p>
    <w:p w14:paraId="05747F6D" w14:textId="77777777" w:rsidR="00A31E0C" w:rsidRDefault="00570A23">
      <w:pPr>
        <w:pStyle w:val="Heading2"/>
      </w:pPr>
      <w:r>
        <w:t>What to Listen For</w:t>
      </w:r>
    </w:p>
    <w:p w14:paraId="6149258E" w14:textId="77777777" w:rsidR="00A31E0C" w:rsidRDefault="00570A23">
      <w:pPr>
        <w:pStyle w:val="ListParagraph"/>
        <w:numPr>
          <w:ilvl w:val="0"/>
          <w:numId w:val="2"/>
        </w:numPr>
        <w:spacing w:after="80"/>
      </w:pPr>
      <w:r>
        <w:rPr>
          <w:b/>
          <w:bCs/>
        </w:rPr>
        <w:t xml:space="preserve">Convergent: </w:t>
      </w:r>
      <w:r>
        <w:t>another table named the same cell you did. This is shared signal — a high-confidence gap.</w:t>
      </w:r>
    </w:p>
    <w:p w14:paraId="4E3291D3" w14:textId="77777777" w:rsidR="00A31E0C" w:rsidRDefault="00570A23">
      <w:pPr>
        <w:pStyle w:val="ListParagraph"/>
        <w:numPr>
          <w:ilvl w:val="0"/>
          <w:numId w:val="2"/>
        </w:numPr>
        <w:spacing w:after="80"/>
      </w:pPr>
      <w:r>
        <w:rPr>
          <w:b/>
          <w:bCs/>
        </w:rPr>
        <w:t xml:space="preserve">Divergent: </w:t>
      </w:r>
      <w:r>
        <w:t>another table named a cell you marked very differently. This is the absence of a shared operating picture — itself a finding.</w:t>
      </w:r>
    </w:p>
    <w:p w14:paraId="0511324F" w14:textId="77777777" w:rsidR="00A31E0C" w:rsidRDefault="00570A23">
      <w:pPr>
        <w:pStyle w:val="ListParagraph"/>
        <w:numPr>
          <w:ilvl w:val="0"/>
          <w:numId w:val="2"/>
        </w:numPr>
        <w:spacing w:after="80"/>
      </w:pPr>
      <w:r>
        <w:rPr>
          <w:b/>
          <w:bCs/>
        </w:rPr>
        <w:t xml:space="preserve">Unique: </w:t>
      </w:r>
      <w:r>
        <w:t>another table named a cell you didn't see. Why didn't you? Whose view is closer to reality?</w:t>
      </w:r>
    </w:p>
    <w:p w14:paraId="7FC3AE54" w14:textId="77777777" w:rsidR="00A31E0C" w:rsidRDefault="00A31E0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100"/>
        <w:gridCol w:w="1500"/>
        <w:gridCol w:w="3260"/>
      </w:tblGrid>
      <w:tr w:rsidR="00A31E0C" w14:paraId="1F62A498" w14:textId="77777777">
        <w:tblPrEx>
          <w:tblCellMar>
            <w:top w:w="0" w:type="dxa"/>
            <w:bottom w:w="0" w:type="dxa"/>
          </w:tblCellMar>
        </w:tblPrEx>
        <w:trPr>
          <w:tblHeader/>
        </w:trPr>
        <w:tc>
          <w:tcPr>
            <w:tcW w:w="9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1103BE1C" w14:textId="77777777" w:rsidR="00A31E0C" w:rsidRDefault="00570A23">
            <w:pPr>
              <w:jc w:val="center"/>
            </w:pPr>
            <w:r>
              <w:rPr>
                <w:b/>
                <w:bCs/>
                <w:color w:val="FFFFFF"/>
                <w:sz w:val="20"/>
                <w:szCs w:val="20"/>
              </w:rPr>
              <w:t>Table</w:t>
            </w:r>
          </w:p>
        </w:tc>
        <w:tc>
          <w:tcPr>
            <w:tcW w:w="26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57A0F9BC" w14:textId="77777777" w:rsidR="00A31E0C" w:rsidRDefault="00570A23">
            <w:r>
              <w:rPr>
                <w:b/>
                <w:bCs/>
                <w:color w:val="FFFFFF"/>
                <w:sz w:val="20"/>
                <w:szCs w:val="20"/>
              </w:rPr>
              <w:t>Cell Named (Row → Column)</w:t>
            </w:r>
          </w:p>
        </w:tc>
        <w:tc>
          <w:tcPr>
            <w:tcW w:w="11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559978AA" w14:textId="77777777" w:rsidR="00A31E0C" w:rsidRDefault="00570A23">
            <w:pPr>
              <w:jc w:val="center"/>
            </w:pPr>
            <w:r>
              <w:rPr>
                <w:b/>
                <w:bCs/>
                <w:color w:val="FFFFFF"/>
                <w:sz w:val="20"/>
                <w:szCs w:val="20"/>
              </w:rPr>
              <w:t>Indicator</w:t>
            </w:r>
          </w:p>
        </w:tc>
        <w:tc>
          <w:tcPr>
            <w:tcW w:w="15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7BB6E3A7" w14:textId="77777777" w:rsidR="00A31E0C" w:rsidRDefault="00570A23">
            <w:pPr>
              <w:jc w:val="center"/>
            </w:pPr>
            <w:r>
              <w:rPr>
                <w:b/>
                <w:bCs/>
                <w:color w:val="FFFFFF"/>
                <w:sz w:val="20"/>
                <w:szCs w:val="20"/>
              </w:rPr>
              <w:t>Pattern</w:t>
            </w:r>
          </w:p>
        </w:tc>
        <w:tc>
          <w:tcPr>
            <w:tcW w:w="326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32486BF7" w14:textId="77777777" w:rsidR="00A31E0C" w:rsidRDefault="00570A23">
            <w:r>
              <w:rPr>
                <w:b/>
                <w:bCs/>
                <w:color w:val="FFFFFF"/>
                <w:sz w:val="20"/>
                <w:szCs w:val="20"/>
              </w:rPr>
              <w:t>What I Want to Remember About This</w:t>
            </w:r>
          </w:p>
        </w:tc>
      </w:tr>
      <w:tr w:rsidR="00A31E0C" w14:paraId="6B97E113" w14:textId="77777777">
        <w:tblPrEx>
          <w:tblCellMar>
            <w:top w:w="0" w:type="dxa"/>
            <w:bottom w:w="0" w:type="dxa"/>
          </w:tblCellMar>
        </w:tblPrEx>
        <w:tc>
          <w:tcPr>
            <w:tcW w:w="9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26512819" w14:textId="77777777" w:rsidR="00A31E0C" w:rsidRDefault="00570A23">
            <w:pPr>
              <w:jc w:val="center"/>
            </w:pPr>
            <w:r>
              <w:rPr>
                <w:b/>
                <w:bCs/>
                <w:color w:val="1A1A1A"/>
                <w:sz w:val="20"/>
                <w:szCs w:val="20"/>
              </w:rPr>
              <w:t>#1</w:t>
            </w:r>
          </w:p>
        </w:tc>
        <w:tc>
          <w:tcPr>
            <w:tcW w:w="26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127C087F" w14:textId="77777777" w:rsidR="00A31E0C" w:rsidRDefault="00A31E0C"/>
        </w:tc>
        <w:tc>
          <w:tcPr>
            <w:tcW w:w="11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3B5EB991" w14:textId="77777777" w:rsidR="00A31E0C" w:rsidRDefault="00A31E0C"/>
        </w:tc>
        <w:tc>
          <w:tcPr>
            <w:tcW w:w="15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3C01C9D1" w14:textId="77777777" w:rsidR="00A31E0C" w:rsidRDefault="00A31E0C"/>
        </w:tc>
        <w:tc>
          <w:tcPr>
            <w:tcW w:w="32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2BA81E1C" w14:textId="77777777" w:rsidR="00A31E0C" w:rsidRDefault="00A31E0C"/>
        </w:tc>
      </w:tr>
      <w:tr w:rsidR="00A31E0C" w14:paraId="198977A2" w14:textId="77777777">
        <w:tblPrEx>
          <w:tblCellMar>
            <w:top w:w="0" w:type="dxa"/>
            <w:bottom w:w="0" w:type="dxa"/>
          </w:tblCellMar>
        </w:tblPrEx>
        <w:tc>
          <w:tcPr>
            <w:tcW w:w="9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3CA28BFD" w14:textId="77777777" w:rsidR="00A31E0C" w:rsidRDefault="00570A23">
            <w:pPr>
              <w:jc w:val="center"/>
            </w:pPr>
            <w:r>
              <w:rPr>
                <w:b/>
                <w:bCs/>
                <w:color w:val="1A1A1A"/>
                <w:sz w:val="20"/>
                <w:szCs w:val="20"/>
              </w:rPr>
              <w:t>#2</w:t>
            </w:r>
          </w:p>
        </w:tc>
        <w:tc>
          <w:tcPr>
            <w:tcW w:w="26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42E14CF1" w14:textId="77777777" w:rsidR="00A31E0C" w:rsidRDefault="00A31E0C"/>
        </w:tc>
        <w:tc>
          <w:tcPr>
            <w:tcW w:w="11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58517FD5" w14:textId="77777777" w:rsidR="00A31E0C" w:rsidRDefault="00A31E0C"/>
        </w:tc>
        <w:tc>
          <w:tcPr>
            <w:tcW w:w="15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49A1F6C1" w14:textId="77777777" w:rsidR="00A31E0C" w:rsidRDefault="00A31E0C"/>
        </w:tc>
        <w:tc>
          <w:tcPr>
            <w:tcW w:w="32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658424ED" w14:textId="77777777" w:rsidR="00A31E0C" w:rsidRDefault="00A31E0C"/>
        </w:tc>
      </w:tr>
      <w:tr w:rsidR="00A31E0C" w14:paraId="52AB3492" w14:textId="77777777">
        <w:tblPrEx>
          <w:tblCellMar>
            <w:top w:w="0" w:type="dxa"/>
            <w:bottom w:w="0" w:type="dxa"/>
          </w:tblCellMar>
        </w:tblPrEx>
        <w:tc>
          <w:tcPr>
            <w:tcW w:w="9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49BF4C08" w14:textId="77777777" w:rsidR="00A31E0C" w:rsidRDefault="00570A23">
            <w:pPr>
              <w:jc w:val="center"/>
            </w:pPr>
            <w:r>
              <w:rPr>
                <w:b/>
                <w:bCs/>
                <w:color w:val="1A1A1A"/>
                <w:sz w:val="20"/>
                <w:szCs w:val="20"/>
              </w:rPr>
              <w:t>#3</w:t>
            </w:r>
          </w:p>
        </w:tc>
        <w:tc>
          <w:tcPr>
            <w:tcW w:w="26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4AD4A200" w14:textId="77777777" w:rsidR="00A31E0C" w:rsidRDefault="00A31E0C"/>
        </w:tc>
        <w:tc>
          <w:tcPr>
            <w:tcW w:w="11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5A57C4B2" w14:textId="77777777" w:rsidR="00A31E0C" w:rsidRDefault="00A31E0C"/>
        </w:tc>
        <w:tc>
          <w:tcPr>
            <w:tcW w:w="15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7421D3AD" w14:textId="77777777" w:rsidR="00A31E0C" w:rsidRDefault="00A31E0C"/>
        </w:tc>
        <w:tc>
          <w:tcPr>
            <w:tcW w:w="32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50C28D15" w14:textId="77777777" w:rsidR="00A31E0C" w:rsidRDefault="00A31E0C"/>
        </w:tc>
      </w:tr>
      <w:tr w:rsidR="00A31E0C" w14:paraId="528E03EF" w14:textId="77777777">
        <w:tblPrEx>
          <w:tblCellMar>
            <w:top w:w="0" w:type="dxa"/>
            <w:bottom w:w="0" w:type="dxa"/>
          </w:tblCellMar>
        </w:tblPrEx>
        <w:tc>
          <w:tcPr>
            <w:tcW w:w="9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0D0CABFE" w14:textId="77777777" w:rsidR="00A31E0C" w:rsidRDefault="00570A23">
            <w:pPr>
              <w:jc w:val="center"/>
            </w:pPr>
            <w:r>
              <w:rPr>
                <w:b/>
                <w:bCs/>
                <w:color w:val="1A1A1A"/>
                <w:sz w:val="20"/>
                <w:szCs w:val="20"/>
              </w:rPr>
              <w:t>#4</w:t>
            </w:r>
          </w:p>
        </w:tc>
        <w:tc>
          <w:tcPr>
            <w:tcW w:w="26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3A2EF8C7" w14:textId="77777777" w:rsidR="00A31E0C" w:rsidRDefault="00A31E0C"/>
        </w:tc>
        <w:tc>
          <w:tcPr>
            <w:tcW w:w="11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370ACB67" w14:textId="77777777" w:rsidR="00A31E0C" w:rsidRDefault="00A31E0C"/>
        </w:tc>
        <w:tc>
          <w:tcPr>
            <w:tcW w:w="15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3429F17B" w14:textId="77777777" w:rsidR="00A31E0C" w:rsidRDefault="00A31E0C"/>
        </w:tc>
        <w:tc>
          <w:tcPr>
            <w:tcW w:w="32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4821C4F7" w14:textId="77777777" w:rsidR="00A31E0C" w:rsidRDefault="00A31E0C"/>
        </w:tc>
      </w:tr>
      <w:tr w:rsidR="00A31E0C" w14:paraId="2215A344" w14:textId="77777777">
        <w:tblPrEx>
          <w:tblCellMar>
            <w:top w:w="0" w:type="dxa"/>
            <w:bottom w:w="0" w:type="dxa"/>
          </w:tblCellMar>
        </w:tblPrEx>
        <w:tc>
          <w:tcPr>
            <w:tcW w:w="9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2D39B740" w14:textId="77777777" w:rsidR="00A31E0C" w:rsidRDefault="00570A23">
            <w:pPr>
              <w:jc w:val="center"/>
            </w:pPr>
            <w:r>
              <w:rPr>
                <w:b/>
                <w:bCs/>
                <w:color w:val="1A1A1A"/>
                <w:sz w:val="20"/>
                <w:szCs w:val="20"/>
              </w:rPr>
              <w:t>#5</w:t>
            </w:r>
          </w:p>
        </w:tc>
        <w:tc>
          <w:tcPr>
            <w:tcW w:w="26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1A37DA69" w14:textId="77777777" w:rsidR="00A31E0C" w:rsidRDefault="00A31E0C"/>
        </w:tc>
        <w:tc>
          <w:tcPr>
            <w:tcW w:w="11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6BC29E8C" w14:textId="77777777" w:rsidR="00A31E0C" w:rsidRDefault="00A31E0C"/>
        </w:tc>
        <w:tc>
          <w:tcPr>
            <w:tcW w:w="150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244947BD" w14:textId="77777777" w:rsidR="00A31E0C" w:rsidRDefault="00A31E0C"/>
        </w:tc>
        <w:tc>
          <w:tcPr>
            <w:tcW w:w="32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tcPr>
          <w:p w14:paraId="2A51E046" w14:textId="77777777" w:rsidR="00A31E0C" w:rsidRDefault="00A31E0C"/>
        </w:tc>
      </w:tr>
    </w:tbl>
    <w:p w14:paraId="5E923A15" w14:textId="77777777" w:rsidR="00A31E0C" w:rsidRDefault="00570A23">
      <w:r>
        <w:br w:type="page"/>
      </w:r>
    </w:p>
    <w:p w14:paraId="2ACB2ACC" w14:textId="77777777" w:rsidR="00A31E0C" w:rsidRDefault="00570A23">
      <w:pPr>
        <w:pStyle w:val="Heading1"/>
      </w:pPr>
      <w:r>
        <w:lastRenderedPageBreak/>
        <w:t>Section 4 — Ownership Reflection</w:t>
      </w:r>
    </w:p>
    <w:p w14:paraId="4F358E8E" w14:textId="77777777" w:rsidR="00A31E0C" w:rsidRDefault="00570A23">
      <w:pPr>
        <w:spacing w:after="120"/>
      </w:pPr>
      <w:r>
        <w:t>Your table will complete one Escalation Card together. This section is for you — the gap that you personally know is yours. It may be the same gap your table named. It may be different. The point is that you are not allowed to leave this exercise without one.</w:t>
      </w:r>
    </w:p>
    <w:p w14:paraId="54AAAB23" w14:textId="77777777" w:rsidR="00A31E0C" w:rsidRDefault="00570A23">
      <w:pPr>
        <w:pStyle w:val="Heading2"/>
      </w:pPr>
      <w:r>
        <w:t>The Gap That Is Personally Yours</w:t>
      </w:r>
    </w:p>
    <w:p w14:paraId="3274377B" w14:textId="77777777" w:rsidR="00A31E0C" w:rsidRDefault="00570A23">
      <w:pPr>
        <w:spacing w:after="120"/>
      </w:pPr>
      <w:r>
        <w:t>Three diagnostic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31E0C" w14:paraId="73DD688E" w14:textId="77777777">
        <w:tblPrEx>
          <w:tblCellMar>
            <w:top w:w="0" w:type="dxa"/>
            <w:bottom w:w="0" w:type="dxa"/>
          </w:tblCellMar>
        </w:tblPrEx>
        <w:tc>
          <w:tcPr>
            <w:tcW w:w="468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2F813463" w14:textId="77777777" w:rsidR="00A31E0C" w:rsidRDefault="00570A23">
            <w:r>
              <w:rPr>
                <w:b/>
                <w:bCs/>
                <w:color w:val="1A1A1A"/>
                <w:sz w:val="20"/>
                <w:szCs w:val="20"/>
              </w:rPr>
              <w:t xml:space="preserve">Where do I, in my role, regularly make decisions without being sure the supporting information </w:t>
            </w:r>
            <w:proofErr w:type="gramStart"/>
            <w:r>
              <w:rPr>
                <w:b/>
                <w:bCs/>
                <w:color w:val="1A1A1A"/>
                <w:sz w:val="20"/>
                <w:szCs w:val="20"/>
              </w:rPr>
              <w:t>actually arrived</w:t>
            </w:r>
            <w:proofErr w:type="gramEnd"/>
            <w:r>
              <w:rPr>
                <w:b/>
                <w:bCs/>
                <w:color w:val="1A1A1A"/>
                <w:sz w:val="20"/>
                <w:szCs w:val="20"/>
              </w:rPr>
              <w:t>?</w:t>
            </w:r>
          </w:p>
        </w:tc>
        <w:tc>
          <w:tcPr>
            <w:tcW w:w="4680" w:type="dxa"/>
            <w:tcBorders>
              <w:top w:val="single" w:sz="6" w:space="0" w:color="9A9A9A"/>
              <w:left w:val="single" w:sz="6" w:space="0" w:color="9A9A9A"/>
              <w:bottom w:val="single" w:sz="6" w:space="0" w:color="9A9A9A"/>
              <w:right w:val="single" w:sz="6" w:space="0" w:color="9A9A9A"/>
            </w:tcBorders>
            <w:tcMar>
              <w:top w:w="200" w:type="dxa"/>
              <w:left w:w="200" w:type="dxa"/>
              <w:bottom w:w="800" w:type="dxa"/>
              <w:right w:w="200" w:type="dxa"/>
            </w:tcMar>
          </w:tcPr>
          <w:p w14:paraId="0AC3977B" w14:textId="77777777" w:rsidR="00A31E0C" w:rsidRDefault="00A31E0C"/>
          <w:p w14:paraId="0C96F12D" w14:textId="77777777" w:rsidR="00A31E0C" w:rsidRDefault="00A31E0C"/>
          <w:p w14:paraId="15AEF443" w14:textId="77777777" w:rsidR="00A31E0C" w:rsidRDefault="00A31E0C"/>
        </w:tc>
      </w:tr>
      <w:tr w:rsidR="00A31E0C" w14:paraId="36268513" w14:textId="77777777">
        <w:tblPrEx>
          <w:tblCellMar>
            <w:top w:w="0" w:type="dxa"/>
            <w:bottom w:w="0" w:type="dxa"/>
          </w:tblCellMar>
        </w:tblPrEx>
        <w:tc>
          <w:tcPr>
            <w:tcW w:w="468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100114F6" w14:textId="77777777" w:rsidR="00A31E0C" w:rsidRDefault="00570A23">
            <w:r>
              <w:rPr>
                <w:b/>
                <w:bCs/>
                <w:color w:val="1A1A1A"/>
                <w:sz w:val="20"/>
                <w:szCs w:val="20"/>
              </w:rPr>
              <w:t>Which cross-functional dependency, if it were materially better, would change my function's results most?</w:t>
            </w:r>
          </w:p>
        </w:tc>
        <w:tc>
          <w:tcPr>
            <w:tcW w:w="4680" w:type="dxa"/>
            <w:tcBorders>
              <w:top w:val="single" w:sz="6" w:space="0" w:color="9A9A9A"/>
              <w:left w:val="single" w:sz="6" w:space="0" w:color="9A9A9A"/>
              <w:bottom w:val="single" w:sz="6" w:space="0" w:color="9A9A9A"/>
              <w:right w:val="single" w:sz="6" w:space="0" w:color="9A9A9A"/>
            </w:tcBorders>
            <w:tcMar>
              <w:top w:w="200" w:type="dxa"/>
              <w:left w:w="200" w:type="dxa"/>
              <w:bottom w:w="800" w:type="dxa"/>
              <w:right w:w="200" w:type="dxa"/>
            </w:tcMar>
          </w:tcPr>
          <w:p w14:paraId="148DE122" w14:textId="77777777" w:rsidR="00A31E0C" w:rsidRDefault="00A31E0C"/>
          <w:p w14:paraId="22029EEF" w14:textId="77777777" w:rsidR="00A31E0C" w:rsidRDefault="00A31E0C"/>
          <w:p w14:paraId="5997F889" w14:textId="77777777" w:rsidR="00A31E0C" w:rsidRDefault="00A31E0C"/>
        </w:tc>
      </w:tr>
      <w:tr w:rsidR="00A31E0C" w14:paraId="25FECAD7" w14:textId="77777777">
        <w:tblPrEx>
          <w:tblCellMar>
            <w:top w:w="0" w:type="dxa"/>
            <w:bottom w:w="0" w:type="dxa"/>
          </w:tblCellMar>
        </w:tblPrEx>
        <w:tc>
          <w:tcPr>
            <w:tcW w:w="468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7ECBF38E" w14:textId="77777777" w:rsidR="00A31E0C" w:rsidRDefault="00570A23">
            <w:r>
              <w:rPr>
                <w:b/>
                <w:bCs/>
                <w:color w:val="1A1A1A"/>
                <w:sz w:val="20"/>
                <w:szCs w:val="20"/>
              </w:rPr>
              <w:t>Which dependency could I personally move — by a conversation, an ask, or a request — in the next 30 days?</w:t>
            </w:r>
          </w:p>
        </w:tc>
        <w:tc>
          <w:tcPr>
            <w:tcW w:w="4680" w:type="dxa"/>
            <w:tcBorders>
              <w:top w:val="single" w:sz="6" w:space="0" w:color="9A9A9A"/>
              <w:left w:val="single" w:sz="6" w:space="0" w:color="9A9A9A"/>
              <w:bottom w:val="single" w:sz="6" w:space="0" w:color="9A9A9A"/>
              <w:right w:val="single" w:sz="6" w:space="0" w:color="9A9A9A"/>
            </w:tcBorders>
            <w:tcMar>
              <w:top w:w="200" w:type="dxa"/>
              <w:left w:w="200" w:type="dxa"/>
              <w:bottom w:w="800" w:type="dxa"/>
              <w:right w:w="200" w:type="dxa"/>
            </w:tcMar>
          </w:tcPr>
          <w:p w14:paraId="714B7DA1" w14:textId="77777777" w:rsidR="00A31E0C" w:rsidRDefault="00A31E0C"/>
          <w:p w14:paraId="781F6AD1" w14:textId="77777777" w:rsidR="00A31E0C" w:rsidRDefault="00A31E0C"/>
          <w:p w14:paraId="6851D254" w14:textId="77777777" w:rsidR="00A31E0C" w:rsidRDefault="00A31E0C"/>
        </w:tc>
      </w:tr>
    </w:tbl>
    <w:p w14:paraId="3AB86A48" w14:textId="77777777" w:rsidR="00A31E0C" w:rsidRDefault="00A31E0C">
      <w:pPr>
        <w:spacing w:before="160" w:after="160"/>
      </w:pPr>
    </w:p>
    <w:p w14:paraId="4FD20D45" w14:textId="77777777" w:rsidR="00A31E0C" w:rsidRDefault="00570A23">
      <w:pPr>
        <w:pBdr>
          <w:left w:val="single" w:sz="18" w:space="12" w:color="C8102E"/>
        </w:pBdr>
        <w:spacing w:before="100" w:after="160"/>
        <w:ind w:left="360"/>
      </w:pPr>
      <w:r>
        <w:rPr>
          <w:b/>
          <w:bCs/>
          <w:color w:val="C8102E"/>
        </w:rPr>
        <w:t xml:space="preserve">Carry this forward: </w:t>
      </w:r>
      <w:r>
        <w:t>Whatever you wrote above becomes a candidate for Commitment #3 on your Data-Driven Leadership Pledge (Module 16). You are not obligated to use it — but you have it.</w:t>
      </w:r>
    </w:p>
    <w:p w14:paraId="4853E3FC" w14:textId="77777777" w:rsidR="00A31E0C" w:rsidRDefault="00570A23">
      <w:r>
        <w:br w:type="page"/>
      </w:r>
    </w:p>
    <w:p w14:paraId="555E252B" w14:textId="77777777" w:rsidR="00A31E0C" w:rsidRDefault="00570A23">
      <w:pPr>
        <w:pStyle w:val="Heading1"/>
      </w:pPr>
      <w:r>
        <w:lastRenderedPageBreak/>
        <w:t>Section 5 — Take-Home Reference</w:t>
      </w:r>
    </w:p>
    <w:p w14:paraId="17C4CEAC" w14:textId="77777777" w:rsidR="00A31E0C" w:rsidRDefault="00570A23">
      <w:pPr>
        <w:pStyle w:val="Heading2"/>
      </w:pPr>
      <w:r>
        <w:t>Definitions Worth Keeping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1E0C" w14:paraId="7EF33B2C" w14:textId="77777777">
        <w:tblPrEx>
          <w:tblCellMar>
            <w:top w:w="0" w:type="dxa"/>
            <w:bottom w:w="0" w:type="dxa"/>
          </w:tblCellMar>
        </w:tblPrEx>
        <w:trPr>
          <w:tblHeader/>
        </w:trPr>
        <w:tc>
          <w:tcPr>
            <w:tcW w:w="260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74394D1C" w14:textId="77777777" w:rsidR="00A31E0C" w:rsidRDefault="00570A23">
            <w:r>
              <w:rPr>
                <w:b/>
                <w:bCs/>
                <w:color w:val="FFFFFF"/>
                <w:sz w:val="20"/>
                <w:szCs w:val="20"/>
              </w:rPr>
              <w:t>Term</w:t>
            </w:r>
          </w:p>
        </w:tc>
        <w:tc>
          <w:tcPr>
            <w:tcW w:w="6760" w:type="dxa"/>
            <w:tcBorders>
              <w:top w:val="single" w:sz="6" w:space="0" w:color="9A9A9A"/>
              <w:left w:val="single" w:sz="6" w:space="0" w:color="9A9A9A"/>
              <w:bottom w:val="single" w:sz="6" w:space="0" w:color="9A9A9A"/>
              <w:right w:val="single" w:sz="6" w:space="0" w:color="9A9A9A"/>
            </w:tcBorders>
            <w:shd w:val="clear" w:color="auto" w:fill="C8102E"/>
            <w:tcMar>
              <w:top w:w="80" w:type="dxa"/>
              <w:left w:w="120" w:type="dxa"/>
              <w:bottom w:w="80" w:type="dxa"/>
              <w:right w:w="120" w:type="dxa"/>
            </w:tcMar>
            <w:vAlign w:val="center"/>
          </w:tcPr>
          <w:p w14:paraId="555026F4" w14:textId="77777777" w:rsidR="00A31E0C" w:rsidRDefault="00570A23">
            <w:r>
              <w:rPr>
                <w:b/>
                <w:bCs/>
                <w:color w:val="FFFFFF"/>
                <w:sz w:val="20"/>
                <w:szCs w:val="20"/>
              </w:rPr>
              <w:t>Working Definition</w:t>
            </w:r>
          </w:p>
        </w:tc>
      </w:tr>
      <w:tr w:rsidR="00A31E0C" w14:paraId="1D2F750C"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543213B3" w14:textId="77777777" w:rsidR="00A31E0C" w:rsidRDefault="00570A23">
            <w:r>
              <w:rPr>
                <w:b/>
                <w:bCs/>
                <w:color w:val="1A1A1A"/>
                <w:sz w:val="20"/>
                <w:szCs w:val="20"/>
              </w:rPr>
              <w:t>Enterprise Alignment Map</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202A98AA" w14:textId="77777777" w:rsidR="00A31E0C" w:rsidRDefault="00570A23">
            <w:r>
              <w:rPr>
                <w:color w:val="1A1A1A"/>
                <w:sz w:val="20"/>
                <w:szCs w:val="20"/>
              </w:rPr>
              <w:t>A function-by-function matrix that identifies which cross-functional data dependencies exist, which are working, which are broken, and which are unknown.</w:t>
            </w:r>
          </w:p>
        </w:tc>
      </w:tr>
      <w:tr w:rsidR="00A31E0C" w14:paraId="678B308E"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40AA052E" w14:textId="77777777" w:rsidR="00A31E0C" w:rsidRDefault="00570A23">
            <w:r>
              <w:rPr>
                <w:b/>
                <w:bCs/>
                <w:color w:val="1A1A1A"/>
                <w:sz w:val="20"/>
                <w:szCs w:val="20"/>
              </w:rPr>
              <w:t>Cross-functional data dependency</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55959BEA" w14:textId="77777777" w:rsidR="00A31E0C" w:rsidRDefault="00570A23">
            <w:r>
              <w:rPr>
                <w:color w:val="1A1A1A"/>
                <w:sz w:val="20"/>
                <w:szCs w:val="20"/>
              </w:rPr>
              <w:t>Any data, signal, report, or feed that one function needs from another to make a better decision.</w:t>
            </w:r>
          </w:p>
        </w:tc>
      </w:tr>
      <w:tr w:rsidR="00A31E0C" w14:paraId="61FB0BB2"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61D29B8A" w14:textId="77777777" w:rsidR="00A31E0C" w:rsidRDefault="00570A23">
            <w:r>
              <w:rPr>
                <w:b/>
                <w:bCs/>
                <w:color w:val="1A1A1A"/>
                <w:sz w:val="20"/>
                <w:szCs w:val="20"/>
              </w:rPr>
              <w:t>Strategic significance</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67A5E2CF" w14:textId="77777777" w:rsidR="00A31E0C" w:rsidRDefault="00570A23">
            <w:r>
              <w:rPr>
                <w:color w:val="1A1A1A"/>
                <w:sz w:val="20"/>
                <w:szCs w:val="20"/>
              </w:rPr>
              <w:t>How materially a closed gap would change enterprise outcomes — independent of how big the gap is. A small gap in a critical decision chain outweighs a large gap in a low-stakes process.</w:t>
            </w:r>
          </w:p>
        </w:tc>
      </w:tr>
      <w:tr w:rsidR="00A31E0C" w14:paraId="431BEB6F"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76FC8619" w14:textId="77777777" w:rsidR="00A31E0C" w:rsidRDefault="00570A23">
            <w:r>
              <w:rPr>
                <w:b/>
                <w:bCs/>
                <w:color w:val="1A1A1A"/>
                <w:sz w:val="20"/>
                <w:szCs w:val="20"/>
              </w:rPr>
              <w:t>Ease of closure</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50B17680" w14:textId="77777777" w:rsidR="00A31E0C" w:rsidRDefault="00570A23">
            <w:r>
              <w:rPr>
                <w:color w:val="1A1A1A"/>
                <w:sz w:val="20"/>
                <w:szCs w:val="20"/>
              </w:rPr>
              <w:t>How quickly the gap could be moved from its current indicator to a better one — measured in conversations, not platforms. Some gaps require infrastructure. Others require only an explicit ask.</w:t>
            </w:r>
          </w:p>
        </w:tc>
      </w:tr>
      <w:tr w:rsidR="00A31E0C" w14:paraId="3FA70116"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2123E07C" w14:textId="77777777" w:rsidR="00A31E0C" w:rsidRDefault="00570A23">
            <w:r>
              <w:rPr>
                <w:b/>
                <w:bCs/>
                <w:color w:val="1A1A1A"/>
                <w:sz w:val="20"/>
                <w:szCs w:val="20"/>
              </w:rPr>
              <w:t>Convergent gap</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7867C2BF" w14:textId="77777777" w:rsidR="00A31E0C" w:rsidRDefault="00570A23">
            <w:r>
              <w:rPr>
                <w:color w:val="1A1A1A"/>
                <w:sz w:val="20"/>
                <w:szCs w:val="20"/>
              </w:rPr>
              <w:t>A cell named independently by multiple tables. High shared confidence the gap is real.</w:t>
            </w:r>
          </w:p>
        </w:tc>
      </w:tr>
      <w:tr w:rsidR="00A31E0C" w14:paraId="1569413F" w14:textId="77777777">
        <w:tblPrEx>
          <w:tblCellMar>
            <w:top w:w="0" w:type="dxa"/>
            <w:bottom w:w="0" w:type="dxa"/>
          </w:tblCellMar>
        </w:tblPrEx>
        <w:tc>
          <w:tcPr>
            <w:tcW w:w="2600" w:type="dxa"/>
            <w:tcBorders>
              <w:top w:val="single" w:sz="6" w:space="0" w:color="9A9A9A"/>
              <w:left w:val="single" w:sz="6" w:space="0" w:color="9A9A9A"/>
              <w:bottom w:val="single" w:sz="6" w:space="0" w:color="9A9A9A"/>
              <w:right w:val="single" w:sz="6" w:space="0" w:color="9A9A9A"/>
            </w:tcBorders>
            <w:shd w:val="clear" w:color="auto" w:fill="FBEEF0"/>
            <w:tcMar>
              <w:top w:w="80" w:type="dxa"/>
              <w:left w:w="120" w:type="dxa"/>
              <w:bottom w:w="80" w:type="dxa"/>
              <w:right w:w="120" w:type="dxa"/>
            </w:tcMar>
            <w:vAlign w:val="center"/>
          </w:tcPr>
          <w:p w14:paraId="04E191D2" w14:textId="77777777" w:rsidR="00A31E0C" w:rsidRDefault="00570A23">
            <w:r>
              <w:rPr>
                <w:b/>
                <w:bCs/>
                <w:color w:val="1A1A1A"/>
                <w:sz w:val="20"/>
                <w:szCs w:val="20"/>
              </w:rPr>
              <w:t>Divergent assessment</w:t>
            </w:r>
          </w:p>
        </w:tc>
        <w:tc>
          <w:tcPr>
            <w:tcW w:w="6760" w:type="dxa"/>
            <w:tcBorders>
              <w:top w:val="single" w:sz="6" w:space="0" w:color="9A9A9A"/>
              <w:left w:val="single" w:sz="6" w:space="0" w:color="9A9A9A"/>
              <w:bottom w:val="single" w:sz="6" w:space="0" w:color="9A9A9A"/>
              <w:right w:val="single" w:sz="6" w:space="0" w:color="9A9A9A"/>
            </w:tcBorders>
            <w:tcMar>
              <w:top w:w="80" w:type="dxa"/>
              <w:left w:w="120" w:type="dxa"/>
              <w:bottom w:w="80" w:type="dxa"/>
              <w:right w:w="120" w:type="dxa"/>
            </w:tcMar>
            <w:vAlign w:val="center"/>
          </w:tcPr>
          <w:p w14:paraId="5CA3DD2F" w14:textId="77777777" w:rsidR="00A31E0C" w:rsidRDefault="00570A23">
            <w:r>
              <w:rPr>
                <w:color w:val="1A1A1A"/>
                <w:sz w:val="20"/>
                <w:szCs w:val="20"/>
              </w:rPr>
              <w:t xml:space="preserve">A cell </w:t>
            </w:r>
            <w:proofErr w:type="gramStart"/>
            <w:r>
              <w:rPr>
                <w:color w:val="1A1A1A"/>
                <w:sz w:val="20"/>
                <w:szCs w:val="20"/>
              </w:rPr>
              <w:t>that</w:t>
            </w:r>
            <w:proofErr w:type="gramEnd"/>
            <w:r>
              <w:rPr>
                <w:color w:val="1A1A1A"/>
                <w:sz w:val="20"/>
                <w:szCs w:val="20"/>
              </w:rPr>
              <w:t xml:space="preserve"> two or more tables marked with different indicators. Itself </w:t>
            </w:r>
            <w:proofErr w:type="gramStart"/>
            <w:r>
              <w:rPr>
                <w:color w:val="1A1A1A"/>
                <w:sz w:val="20"/>
                <w:szCs w:val="20"/>
              </w:rPr>
              <w:t>a finding —</w:t>
            </w:r>
            <w:proofErr w:type="gramEnd"/>
            <w:r>
              <w:rPr>
                <w:color w:val="1A1A1A"/>
                <w:sz w:val="20"/>
                <w:szCs w:val="20"/>
              </w:rPr>
              <w:t xml:space="preserve"> the absence of a common operating picture.</w:t>
            </w:r>
          </w:p>
        </w:tc>
      </w:tr>
    </w:tbl>
    <w:p w14:paraId="01F8DA51" w14:textId="77777777" w:rsidR="00A31E0C" w:rsidRDefault="00A31E0C">
      <w:pPr>
        <w:spacing w:before="200" w:after="200"/>
      </w:pPr>
    </w:p>
    <w:p w14:paraId="42DC1364" w14:textId="77777777" w:rsidR="00A31E0C" w:rsidRDefault="00570A23">
      <w:pPr>
        <w:pStyle w:val="Heading2"/>
      </w:pPr>
      <w:r>
        <w:t>Example Cells — For Reference Only</w:t>
      </w:r>
    </w:p>
    <w:p w14:paraId="0FE0C57D" w14:textId="77777777" w:rsidR="00A31E0C" w:rsidRDefault="00570A23">
      <w:pPr>
        <w:spacing w:after="120"/>
      </w:pPr>
      <w:r>
        <w:t>Not prescriptive. These are illustrative of how a cell becomes a strategic gap. Your table's actual cells will be different — and richer.</w:t>
      </w:r>
    </w:p>
    <w:p w14:paraId="3D0514F1" w14:textId="77777777" w:rsidR="00A31E0C" w:rsidRDefault="00570A23">
      <w:pPr>
        <w:pStyle w:val="ListParagraph"/>
        <w:numPr>
          <w:ilvl w:val="0"/>
          <w:numId w:val="2"/>
        </w:numPr>
        <w:spacing w:after="80"/>
      </w:pPr>
      <w:r>
        <w:rPr>
          <w:b/>
          <w:bCs/>
        </w:rPr>
        <w:t xml:space="preserve">Banking ← Insurance (◐): </w:t>
      </w:r>
      <w:r>
        <w:t>FGB needs parish-level claims exposure data from GKGI to underwrite small-business loans in Melissa-affected parishes. Currently received monthly at aggregate level. Quarterly cycle is too slow for post-event credit decisions.</w:t>
      </w:r>
    </w:p>
    <w:p w14:paraId="070134CD" w14:textId="77777777" w:rsidR="00A31E0C" w:rsidRDefault="00570A23">
      <w:pPr>
        <w:pStyle w:val="ListParagraph"/>
        <w:numPr>
          <w:ilvl w:val="0"/>
          <w:numId w:val="2"/>
        </w:numPr>
        <w:spacing w:after="80"/>
      </w:pPr>
      <w:r>
        <w:rPr>
          <w:b/>
          <w:bCs/>
        </w:rPr>
        <w:t xml:space="preserve">Money Services ← Banking (✗): </w:t>
      </w:r>
      <w:r>
        <w:t>GKMS needs visibility into FGB customer profitability to prioritize remittance-customer cross-sell. Currently no integrated view exists.</w:t>
      </w:r>
    </w:p>
    <w:p w14:paraId="54534861" w14:textId="77777777" w:rsidR="00A31E0C" w:rsidRDefault="00570A23">
      <w:pPr>
        <w:pStyle w:val="ListParagraph"/>
        <w:numPr>
          <w:ilvl w:val="0"/>
          <w:numId w:val="2"/>
        </w:numPr>
        <w:spacing w:after="80"/>
      </w:pPr>
      <w:r>
        <w:rPr>
          <w:b/>
          <w:bCs/>
        </w:rPr>
        <w:t xml:space="preserve">Risk ← Technology (?): </w:t>
      </w:r>
      <w:r>
        <w:t xml:space="preserve">Risk function unsure whether real-time fraud signals from GK One are flowing to the central fraud engine, or whether there is latency. Nobody at the table can confirm. </w:t>
      </w:r>
      <w:proofErr w:type="gramStart"/>
      <w:r>
        <w:t>Mark ?</w:t>
      </w:r>
      <w:proofErr w:type="gramEnd"/>
      <w:r>
        <w:t>.</w:t>
      </w:r>
    </w:p>
    <w:p w14:paraId="1A0C9C04" w14:textId="77777777" w:rsidR="00A31E0C" w:rsidRDefault="00570A23">
      <w:pPr>
        <w:pStyle w:val="ListParagraph"/>
        <w:numPr>
          <w:ilvl w:val="0"/>
          <w:numId w:val="2"/>
        </w:numPr>
        <w:spacing w:after="80"/>
      </w:pPr>
      <w:r>
        <w:rPr>
          <w:b/>
          <w:bCs/>
        </w:rPr>
        <w:t xml:space="preserve">Customer Experience ← All SBUs (✗): </w:t>
      </w:r>
      <w:r>
        <w:t>CX cannot construct a unified customer view across SBUs because the underlying customer-affiliation data is not normalized in real time. This is the integration question the Customer Affiliation Dashboard surfaces.</w:t>
      </w:r>
    </w:p>
    <w:sectPr w:rsidR="00A31E0C">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5D4D" w14:textId="77777777" w:rsidR="00570A23" w:rsidRDefault="00570A23">
      <w:r>
        <w:separator/>
      </w:r>
    </w:p>
  </w:endnote>
  <w:endnote w:type="continuationSeparator" w:id="0">
    <w:p w14:paraId="6FF6F0F4" w14:textId="77777777" w:rsidR="00570A23" w:rsidRDefault="00570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DA8A6" w14:textId="77777777" w:rsidR="00A31E0C" w:rsidRDefault="00570A23">
    <w:pPr>
      <w:tabs>
        <w:tab w:val="right" w:pos="9026"/>
      </w:tabs>
    </w:pPr>
    <w:r>
      <w:rPr>
        <w:color w:val="555555"/>
        <w:sz w:val="16"/>
        <w:szCs w:val="16"/>
      </w:rPr>
      <w:t xml:space="preserve">Participant </w:t>
    </w:r>
    <w:proofErr w:type="gramStart"/>
    <w:r>
      <w:rPr>
        <w:color w:val="555555"/>
        <w:sz w:val="16"/>
        <w:szCs w:val="16"/>
      </w:rPr>
      <w:t>Workbook  ·</w:t>
    </w:r>
    <w:proofErr w:type="gramEnd"/>
    <w:r>
      <w:rPr>
        <w:color w:val="555555"/>
        <w:sz w:val="16"/>
        <w:szCs w:val="16"/>
      </w:rPr>
      <w:t xml:space="preserve">  Enterprise Alignment Map</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046CA">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046CA">
      <w:rPr>
        <w:noProof/>
        <w:color w:val="555555"/>
        <w:sz w:val="16"/>
        <w:szCs w:val="16"/>
      </w:rPr>
      <w:t>2</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B4EFC" w14:textId="4B72FF68" w:rsidR="00A31E0C" w:rsidRDefault="00570A23">
    <w:pPr>
      <w:tabs>
        <w:tab w:val="right" w:pos="9026"/>
      </w:tabs>
    </w:pPr>
    <w:r>
      <w:rPr>
        <w:color w:val="555555"/>
        <w:sz w:val="16"/>
        <w:szCs w:val="16"/>
      </w:rPr>
      <w:t xml:space="preserve">Participant </w:t>
    </w:r>
    <w:proofErr w:type="gramStart"/>
    <w:r>
      <w:rPr>
        <w:color w:val="555555"/>
        <w:sz w:val="16"/>
        <w:szCs w:val="16"/>
      </w:rPr>
      <w:t>Workbook  ·</w:t>
    </w:r>
    <w:proofErr w:type="gramEnd"/>
    <w:r>
      <w:rPr>
        <w:color w:val="555555"/>
        <w:sz w:val="16"/>
        <w:szCs w:val="16"/>
      </w:rPr>
      <w:t xml:space="preserve">  The Alignment Grid</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046CA">
      <w:rPr>
        <w:noProof/>
        <w:color w:val="555555"/>
        <w:sz w:val="16"/>
        <w:szCs w:val="16"/>
      </w:rPr>
      <w:t>5</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046CA">
      <w:rPr>
        <w:noProof/>
        <w:color w:val="555555"/>
        <w:sz w:val="16"/>
        <w:szCs w:val="16"/>
      </w:rPr>
      <w:t>6</w:t>
    </w:r>
    <w:r>
      <w:rPr>
        <w:color w:val="555555"/>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F1F31" w14:textId="128003ED" w:rsidR="00A31E0C" w:rsidRDefault="00570A23">
    <w:pPr>
      <w:tabs>
        <w:tab w:val="right" w:pos="9026"/>
      </w:tabs>
    </w:pPr>
    <w:r>
      <w:rPr>
        <w:color w:val="555555"/>
        <w:sz w:val="16"/>
        <w:szCs w:val="16"/>
      </w:rPr>
      <w:t xml:space="preserve">Participant </w:t>
    </w:r>
    <w:proofErr w:type="gramStart"/>
    <w:r>
      <w:rPr>
        <w:color w:val="555555"/>
        <w:sz w:val="16"/>
        <w:szCs w:val="16"/>
      </w:rPr>
      <w:t>Workbook  ·</w:t>
    </w:r>
    <w:proofErr w:type="gramEnd"/>
    <w:r>
      <w:rPr>
        <w:color w:val="555555"/>
        <w:sz w:val="16"/>
        <w:szCs w:val="16"/>
      </w:rPr>
      <w:t xml:space="preserve">  Enterprise Alignment Map</w:t>
    </w:r>
    <w:r>
      <w:rPr>
        <w:color w:val="555555"/>
        <w:sz w:val="16"/>
        <w:szCs w:val="16"/>
      </w:rPr>
      <w:tab/>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046CA">
      <w:rPr>
        <w:noProof/>
        <w:color w:val="555555"/>
        <w:sz w:val="16"/>
        <w:szCs w:val="16"/>
      </w:rPr>
      <w:t>6</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3046CA">
      <w:rPr>
        <w:noProof/>
        <w:color w:val="555555"/>
        <w:sz w:val="16"/>
        <w:szCs w:val="16"/>
      </w:rPr>
      <w:t>7</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4A277" w14:textId="77777777" w:rsidR="00570A23" w:rsidRDefault="00570A23">
      <w:r>
        <w:separator/>
      </w:r>
    </w:p>
  </w:footnote>
  <w:footnote w:type="continuationSeparator" w:id="0">
    <w:p w14:paraId="5A3903AA" w14:textId="77777777" w:rsidR="00570A23" w:rsidRDefault="00570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0DD89" w14:textId="77777777" w:rsidR="00A31E0C" w:rsidRDefault="00570A23">
    <w:pPr>
      <w:pBdr>
        <w:bottom w:val="single" w:sz="8" w:space="6" w:color="C8102E"/>
      </w:pBdr>
    </w:pPr>
    <w:proofErr w:type="gramStart"/>
    <w:r>
      <w:rPr>
        <w:b/>
        <w:bCs/>
        <w:color w:val="C8102E"/>
        <w:sz w:val="16"/>
        <w:szCs w:val="16"/>
      </w:rPr>
      <w:t>GKFG  ·</w:t>
    </w:r>
    <w:proofErr w:type="gramEnd"/>
    <w:r>
      <w:rPr>
        <w:b/>
        <w:bCs/>
        <w:color w:val="C8102E"/>
        <w:sz w:val="16"/>
        <w:szCs w:val="16"/>
      </w:rPr>
      <w:t xml:space="preserve">  DATA-DRIVEN DECISION-</w:t>
    </w:r>
    <w:proofErr w:type="gramStart"/>
    <w:r>
      <w:rPr>
        <w:b/>
        <w:bCs/>
        <w:color w:val="C8102E"/>
        <w:sz w:val="16"/>
        <w:szCs w:val="16"/>
      </w:rPr>
      <w:t>MAKING  ·</w:t>
    </w:r>
    <w:proofErr w:type="gramEnd"/>
    <w:r>
      <w:rPr>
        <w:b/>
        <w:bCs/>
        <w:color w:val="C8102E"/>
        <w:sz w:val="16"/>
        <w:szCs w:val="16"/>
      </w:rPr>
      <w:t xml:space="preserve">  SESSION </w:t>
    </w:r>
    <w:proofErr w:type="gramStart"/>
    <w:r>
      <w:rPr>
        <w:b/>
        <w:bCs/>
        <w:color w:val="C8102E"/>
        <w:sz w:val="16"/>
        <w:szCs w:val="16"/>
      </w:rPr>
      <w:t>3  ·</w:t>
    </w:r>
    <w:proofErr w:type="gramEnd"/>
    <w:r>
      <w:rPr>
        <w:b/>
        <w:bCs/>
        <w:color w:val="C8102E"/>
        <w:sz w:val="16"/>
        <w:szCs w:val="16"/>
      </w:rPr>
      <w:t xml:space="preserve">  MODULE 15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C40D1" w14:textId="77777777" w:rsidR="00A31E0C" w:rsidRDefault="00570A23">
    <w:pPr>
      <w:pBdr>
        <w:bottom w:val="single" w:sz="8" w:space="6" w:color="C8102E"/>
      </w:pBdr>
    </w:pPr>
    <w:proofErr w:type="gramStart"/>
    <w:r>
      <w:rPr>
        <w:b/>
        <w:bCs/>
        <w:color w:val="C8102E"/>
        <w:sz w:val="16"/>
        <w:szCs w:val="16"/>
      </w:rPr>
      <w:t>GKFG  ·</w:t>
    </w:r>
    <w:proofErr w:type="gramEnd"/>
    <w:r>
      <w:rPr>
        <w:b/>
        <w:bCs/>
        <w:color w:val="C8102E"/>
        <w:sz w:val="16"/>
        <w:szCs w:val="16"/>
      </w:rPr>
      <w:t xml:space="preserve">  DATA-DRIVEN DECISION-</w:t>
    </w:r>
    <w:proofErr w:type="gramStart"/>
    <w:r>
      <w:rPr>
        <w:b/>
        <w:bCs/>
        <w:color w:val="C8102E"/>
        <w:sz w:val="16"/>
        <w:szCs w:val="16"/>
      </w:rPr>
      <w:t>MAKING  ·</w:t>
    </w:r>
    <w:proofErr w:type="gramEnd"/>
    <w:r>
      <w:rPr>
        <w:b/>
        <w:bCs/>
        <w:color w:val="C8102E"/>
        <w:sz w:val="16"/>
        <w:szCs w:val="16"/>
      </w:rPr>
      <w:t xml:space="preserve">  SESSION </w:t>
    </w:r>
    <w:proofErr w:type="gramStart"/>
    <w:r>
      <w:rPr>
        <w:b/>
        <w:bCs/>
        <w:color w:val="C8102E"/>
        <w:sz w:val="16"/>
        <w:szCs w:val="16"/>
      </w:rPr>
      <w:t>3  ·</w:t>
    </w:r>
    <w:proofErr w:type="gramEnd"/>
    <w:r>
      <w:rPr>
        <w:b/>
        <w:bCs/>
        <w:color w:val="C8102E"/>
        <w:sz w:val="16"/>
        <w:szCs w:val="16"/>
      </w:rPr>
      <w:t xml:space="preserve">  MODULE 15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E937A" w14:textId="77777777" w:rsidR="00A31E0C" w:rsidRDefault="00570A23">
    <w:pPr>
      <w:pBdr>
        <w:bottom w:val="single" w:sz="8" w:space="6" w:color="C8102E"/>
      </w:pBdr>
    </w:pPr>
    <w:proofErr w:type="gramStart"/>
    <w:r>
      <w:rPr>
        <w:b/>
        <w:bCs/>
        <w:color w:val="C8102E"/>
        <w:sz w:val="16"/>
        <w:szCs w:val="16"/>
      </w:rPr>
      <w:t>GKFG  ·</w:t>
    </w:r>
    <w:proofErr w:type="gramEnd"/>
    <w:r>
      <w:rPr>
        <w:b/>
        <w:bCs/>
        <w:color w:val="C8102E"/>
        <w:sz w:val="16"/>
        <w:szCs w:val="16"/>
      </w:rPr>
      <w:t xml:space="preserve">  DATA-DRIVEN DECISION-</w:t>
    </w:r>
    <w:proofErr w:type="gramStart"/>
    <w:r>
      <w:rPr>
        <w:b/>
        <w:bCs/>
        <w:color w:val="C8102E"/>
        <w:sz w:val="16"/>
        <w:szCs w:val="16"/>
      </w:rPr>
      <w:t>MAKING  ·</w:t>
    </w:r>
    <w:proofErr w:type="gramEnd"/>
    <w:r>
      <w:rPr>
        <w:b/>
        <w:bCs/>
        <w:color w:val="C8102E"/>
        <w:sz w:val="16"/>
        <w:szCs w:val="16"/>
      </w:rPr>
      <w:t xml:space="preserve">  SESSION </w:t>
    </w:r>
    <w:proofErr w:type="gramStart"/>
    <w:r>
      <w:rPr>
        <w:b/>
        <w:bCs/>
        <w:color w:val="C8102E"/>
        <w:sz w:val="16"/>
        <w:szCs w:val="16"/>
      </w:rPr>
      <w:t>3  ·</w:t>
    </w:r>
    <w:proofErr w:type="gramEnd"/>
    <w:r>
      <w:rPr>
        <w:b/>
        <w:bCs/>
        <w:color w:val="C8102E"/>
        <w:sz w:val="16"/>
        <w:szCs w:val="16"/>
      </w:rPr>
      <w:t xml:space="preserve">  MODULE 15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B60"/>
    <w:multiLevelType w:val="hybridMultilevel"/>
    <w:tmpl w:val="03E49BAE"/>
    <w:lvl w:ilvl="0" w:tplc="D41E0E60">
      <w:start w:val="1"/>
      <w:numFmt w:val="decimal"/>
      <w:lvlText w:val="%1."/>
      <w:lvlJc w:val="left"/>
      <w:pPr>
        <w:ind w:left="540" w:hanging="280"/>
      </w:pPr>
    </w:lvl>
    <w:lvl w:ilvl="1" w:tplc="F50208FA">
      <w:numFmt w:val="decimal"/>
      <w:lvlText w:val=""/>
      <w:lvlJc w:val="left"/>
    </w:lvl>
    <w:lvl w:ilvl="2" w:tplc="AB986FF4">
      <w:numFmt w:val="decimal"/>
      <w:lvlText w:val=""/>
      <w:lvlJc w:val="left"/>
    </w:lvl>
    <w:lvl w:ilvl="3" w:tplc="5E4039B0">
      <w:numFmt w:val="decimal"/>
      <w:lvlText w:val=""/>
      <w:lvlJc w:val="left"/>
    </w:lvl>
    <w:lvl w:ilvl="4" w:tplc="73840D48">
      <w:numFmt w:val="decimal"/>
      <w:lvlText w:val=""/>
      <w:lvlJc w:val="left"/>
    </w:lvl>
    <w:lvl w:ilvl="5" w:tplc="C1686D6E">
      <w:numFmt w:val="decimal"/>
      <w:lvlText w:val=""/>
      <w:lvlJc w:val="left"/>
    </w:lvl>
    <w:lvl w:ilvl="6" w:tplc="7E4E00B6">
      <w:numFmt w:val="decimal"/>
      <w:lvlText w:val=""/>
      <w:lvlJc w:val="left"/>
    </w:lvl>
    <w:lvl w:ilvl="7" w:tplc="C25014B2">
      <w:numFmt w:val="decimal"/>
      <w:lvlText w:val=""/>
      <w:lvlJc w:val="left"/>
    </w:lvl>
    <w:lvl w:ilvl="8" w:tplc="45C02FEA">
      <w:numFmt w:val="decimal"/>
      <w:lvlText w:val=""/>
      <w:lvlJc w:val="left"/>
    </w:lvl>
  </w:abstractNum>
  <w:abstractNum w:abstractNumId="1" w15:restartNumberingAfterBreak="0">
    <w:nsid w:val="482033A2"/>
    <w:multiLevelType w:val="hybridMultilevel"/>
    <w:tmpl w:val="26A882A0"/>
    <w:lvl w:ilvl="0" w:tplc="D348FEE4">
      <w:start w:val="1"/>
      <w:numFmt w:val="bullet"/>
      <w:lvlText w:val="●"/>
      <w:lvlJc w:val="left"/>
      <w:pPr>
        <w:ind w:left="720" w:hanging="360"/>
      </w:pPr>
    </w:lvl>
    <w:lvl w:ilvl="1" w:tplc="1E68F9A8">
      <w:start w:val="1"/>
      <w:numFmt w:val="bullet"/>
      <w:lvlText w:val="○"/>
      <w:lvlJc w:val="left"/>
      <w:pPr>
        <w:ind w:left="1440" w:hanging="360"/>
      </w:pPr>
    </w:lvl>
    <w:lvl w:ilvl="2" w:tplc="497A1DD2">
      <w:start w:val="1"/>
      <w:numFmt w:val="bullet"/>
      <w:lvlText w:val="■"/>
      <w:lvlJc w:val="left"/>
      <w:pPr>
        <w:ind w:left="2160" w:hanging="360"/>
      </w:pPr>
    </w:lvl>
    <w:lvl w:ilvl="3" w:tplc="7CC65A7E">
      <w:start w:val="1"/>
      <w:numFmt w:val="bullet"/>
      <w:lvlText w:val="●"/>
      <w:lvlJc w:val="left"/>
      <w:pPr>
        <w:ind w:left="2880" w:hanging="360"/>
      </w:pPr>
    </w:lvl>
    <w:lvl w:ilvl="4" w:tplc="0226D03C">
      <w:start w:val="1"/>
      <w:numFmt w:val="bullet"/>
      <w:lvlText w:val="○"/>
      <w:lvlJc w:val="left"/>
      <w:pPr>
        <w:ind w:left="3600" w:hanging="360"/>
      </w:pPr>
    </w:lvl>
    <w:lvl w:ilvl="5" w:tplc="18641562">
      <w:start w:val="1"/>
      <w:numFmt w:val="bullet"/>
      <w:lvlText w:val="■"/>
      <w:lvlJc w:val="left"/>
      <w:pPr>
        <w:ind w:left="4320" w:hanging="360"/>
      </w:pPr>
    </w:lvl>
    <w:lvl w:ilvl="6" w:tplc="BAA285A8">
      <w:start w:val="1"/>
      <w:numFmt w:val="bullet"/>
      <w:lvlText w:val="●"/>
      <w:lvlJc w:val="left"/>
      <w:pPr>
        <w:ind w:left="5040" w:hanging="360"/>
      </w:pPr>
    </w:lvl>
    <w:lvl w:ilvl="7" w:tplc="00FAD23A">
      <w:start w:val="1"/>
      <w:numFmt w:val="bullet"/>
      <w:lvlText w:val="●"/>
      <w:lvlJc w:val="left"/>
      <w:pPr>
        <w:ind w:left="5760" w:hanging="360"/>
      </w:pPr>
    </w:lvl>
    <w:lvl w:ilvl="8" w:tplc="9B52064E">
      <w:start w:val="1"/>
      <w:numFmt w:val="bullet"/>
      <w:lvlText w:val="●"/>
      <w:lvlJc w:val="left"/>
      <w:pPr>
        <w:ind w:left="6480" w:hanging="360"/>
      </w:pPr>
    </w:lvl>
  </w:abstractNum>
  <w:abstractNum w:abstractNumId="2" w15:restartNumberingAfterBreak="0">
    <w:nsid w:val="7EEB4847"/>
    <w:multiLevelType w:val="hybridMultilevel"/>
    <w:tmpl w:val="08B8D6A0"/>
    <w:lvl w:ilvl="0" w:tplc="6C648EFA">
      <w:start w:val="1"/>
      <w:numFmt w:val="bullet"/>
      <w:lvlText w:val="•"/>
      <w:lvlJc w:val="left"/>
      <w:pPr>
        <w:ind w:left="540" w:hanging="280"/>
      </w:pPr>
    </w:lvl>
    <w:lvl w:ilvl="1" w:tplc="9222ABA4">
      <w:numFmt w:val="decimal"/>
      <w:lvlText w:val=""/>
      <w:lvlJc w:val="left"/>
    </w:lvl>
    <w:lvl w:ilvl="2" w:tplc="489269EA">
      <w:numFmt w:val="decimal"/>
      <w:lvlText w:val=""/>
      <w:lvlJc w:val="left"/>
    </w:lvl>
    <w:lvl w:ilvl="3" w:tplc="B1D85252">
      <w:numFmt w:val="decimal"/>
      <w:lvlText w:val=""/>
      <w:lvlJc w:val="left"/>
    </w:lvl>
    <w:lvl w:ilvl="4" w:tplc="80EA054C">
      <w:numFmt w:val="decimal"/>
      <w:lvlText w:val=""/>
      <w:lvlJc w:val="left"/>
    </w:lvl>
    <w:lvl w:ilvl="5" w:tplc="9CDE8B62">
      <w:numFmt w:val="decimal"/>
      <w:lvlText w:val=""/>
      <w:lvlJc w:val="left"/>
    </w:lvl>
    <w:lvl w:ilvl="6" w:tplc="A4B08772">
      <w:numFmt w:val="decimal"/>
      <w:lvlText w:val=""/>
      <w:lvlJc w:val="left"/>
    </w:lvl>
    <w:lvl w:ilvl="7" w:tplc="BED6CBBC">
      <w:numFmt w:val="decimal"/>
      <w:lvlText w:val=""/>
      <w:lvlJc w:val="left"/>
    </w:lvl>
    <w:lvl w:ilvl="8" w:tplc="7320259C">
      <w:numFmt w:val="decimal"/>
      <w:lvlText w:val=""/>
      <w:lvlJc w:val="left"/>
    </w:lvl>
  </w:abstractNum>
  <w:num w:numId="1" w16cid:durableId="21447034">
    <w:abstractNumId w:val="1"/>
    <w:lvlOverride w:ilvl="0">
      <w:startOverride w:val="1"/>
    </w:lvlOverride>
  </w:num>
  <w:num w:numId="2" w16cid:durableId="130596521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E0C"/>
    <w:rsid w:val="003046CA"/>
    <w:rsid w:val="00570A23"/>
    <w:rsid w:val="00A31E0C"/>
    <w:rsid w:val="00FC7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DB2F4"/>
  <w15:docId w15:val="{5C180B96-4905-4B1A-B64C-14CA03206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C8102E"/>
      <w:sz w:val="36"/>
      <w:szCs w:val="36"/>
    </w:rPr>
  </w:style>
  <w:style w:type="paragraph" w:styleId="Heading2">
    <w:name w:val="heading 2"/>
    <w:uiPriority w:val="9"/>
    <w:unhideWhenUsed/>
    <w:qFormat/>
    <w:pPr>
      <w:spacing w:before="260" w:after="100"/>
      <w:outlineLvl w:val="1"/>
    </w:pPr>
    <w:rPr>
      <w:b/>
      <w:bCs/>
      <w:color w:val="1A1A1A"/>
      <w:sz w:val="28"/>
      <w:szCs w:val="28"/>
    </w:rPr>
  </w:style>
  <w:style w:type="paragraph" w:styleId="Heading3">
    <w:name w:val="heading 3"/>
    <w:uiPriority w:val="9"/>
    <w:unhideWhenUsed/>
    <w:qFormat/>
    <w:pPr>
      <w:spacing w:before="200" w:after="80"/>
      <w:outlineLvl w:val="2"/>
    </w:pPr>
    <w:rPr>
      <w:b/>
      <w:bCs/>
      <w:color w:val="8B0E2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1445</Words>
  <Characters>7361</Characters>
  <Application>Microsoft Office Word</Application>
  <DocSecurity>0</DocSecurity>
  <Lines>350</Lines>
  <Paragraphs>163</Paragraphs>
  <ScaleCrop>false</ScaleCrop>
  <Company/>
  <LinksUpToDate>false</LinksUpToDate>
  <CharactersWithSpaces>8643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15 — Enterprise Alignment Map — Participant Workbook</dc:title>
  <dc:creator>GKFG Data-Driven Decision-Making Program</dc:creator>
  <dc:description>Session 3 participant workbook for the Enterprise Alignment Map exercise.</dc:description>
  <cp:lastModifiedBy>Allen Sanders</cp:lastModifiedBy>
  <cp:revision>2</cp:revision>
  <dcterms:created xsi:type="dcterms:W3CDTF">2026-05-18T21:15:00Z</dcterms:created>
  <dcterms:modified xsi:type="dcterms:W3CDTF">2026-05-18T22:00:00Z</dcterms:modified>
</cp:coreProperties>
</file>