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43057" w14:textId="77777777" w:rsidR="0025534A" w:rsidRDefault="001F7044">
      <w:pPr>
        <w:spacing w:before="200" w:after="200"/>
        <w:jc w:val="center"/>
      </w:pPr>
      <w:r>
        <w:rPr>
          <w:b/>
          <w:bCs/>
          <w:sz w:val="56"/>
          <w:szCs w:val="56"/>
        </w:rPr>
        <w:t>GKFG 2030</w:t>
      </w:r>
    </w:p>
    <w:p w14:paraId="7DCF3133" w14:textId="77777777" w:rsidR="0025534A" w:rsidRDefault="001F7044">
      <w:pPr>
        <w:spacing w:before="60" w:after="200"/>
        <w:jc w:val="center"/>
      </w:pPr>
      <w:r>
        <w:rPr>
          <w:b/>
          <w:bCs/>
          <w:color w:val="C8102E"/>
          <w:sz w:val="32"/>
          <w:szCs w:val="32"/>
        </w:rPr>
        <w:t>The Allocation Decision</w:t>
      </w:r>
    </w:p>
    <w:p w14:paraId="109F6931" w14:textId="77777777" w:rsidR="0025534A" w:rsidRDefault="001F7044">
      <w:pPr>
        <w:spacing w:before="60" w:after="60"/>
        <w:jc w:val="center"/>
      </w:pPr>
      <w:r>
        <w:rPr>
          <w:i/>
          <w:iCs/>
        </w:rPr>
        <w:t>Participant Workbook</w:t>
      </w:r>
    </w:p>
    <w:p w14:paraId="4E93336C" w14:textId="152D720E" w:rsidR="0025534A" w:rsidRDefault="001F7044">
      <w:pPr>
        <w:spacing w:before="60" w:after="60"/>
        <w:jc w:val="center"/>
      </w:pPr>
      <w:r>
        <w:rPr>
          <w:i/>
          <w:iCs/>
        </w:rPr>
        <w:t xml:space="preserve">Session 3, Module </w:t>
      </w:r>
      <w:proofErr w:type="gramStart"/>
      <w:r>
        <w:rPr>
          <w:i/>
          <w:iCs/>
        </w:rPr>
        <w:t>12  |</w:t>
      </w:r>
      <w:proofErr w:type="gramEnd"/>
      <w:r>
        <w:rPr>
          <w:i/>
          <w:iCs/>
        </w:rPr>
        <w:t xml:space="preserve">  </w:t>
      </w:r>
      <w:r w:rsidR="00862C3F">
        <w:rPr>
          <w:i/>
          <w:iCs/>
        </w:rPr>
        <w:t>105</w:t>
      </w:r>
      <w:r>
        <w:rPr>
          <w:i/>
          <w:iCs/>
        </w:rPr>
        <w:t xml:space="preserve"> </w:t>
      </w:r>
      <w:proofErr w:type="gramStart"/>
      <w:r>
        <w:rPr>
          <w:i/>
          <w:iCs/>
        </w:rPr>
        <w:t>Minutes  |</w:t>
      </w:r>
      <w:proofErr w:type="gramEnd"/>
      <w:r>
        <w:rPr>
          <w:i/>
          <w:iCs/>
        </w:rPr>
        <w:t xml:space="preserve">  Three Rounds</w:t>
      </w:r>
    </w:p>
    <w:p w14:paraId="0028A00A" w14:textId="77777777" w:rsidR="0025534A" w:rsidRDefault="0025534A">
      <w:pPr>
        <w:spacing w:before="400"/>
      </w:pPr>
    </w:p>
    <w:p w14:paraId="31903F07" w14:textId="77777777" w:rsidR="0025534A" w:rsidRDefault="001F7044">
      <w:pPr>
        <w:spacing w:before="60" w:after="60"/>
        <w:jc w:val="center"/>
      </w:pPr>
      <w:r>
        <w:rPr>
          <w:i/>
          <w:iCs/>
        </w:rPr>
        <w:t>Name: ________________________________</w:t>
      </w:r>
    </w:p>
    <w:p w14:paraId="05CECD82" w14:textId="77777777" w:rsidR="0025534A" w:rsidRDefault="001F7044">
      <w:pPr>
        <w:spacing w:before="60" w:after="60"/>
        <w:jc w:val="center"/>
      </w:pPr>
      <w:r>
        <w:rPr>
          <w:i/>
          <w:iCs/>
        </w:rPr>
        <w:t>Table: ____</w:t>
      </w:r>
    </w:p>
    <w:p w14:paraId="69AEAD8B" w14:textId="77777777" w:rsidR="0025534A" w:rsidRDefault="0025534A">
      <w:pPr>
        <w:spacing w:before="200"/>
      </w:pPr>
    </w:p>
    <w:p w14:paraId="6D44ABF9" w14:textId="77777777" w:rsidR="0025534A" w:rsidRDefault="001F7044">
      <w:pPr>
        <w:spacing w:before="60" w:after="60"/>
        <w:jc w:val="center"/>
      </w:pPr>
      <w:r>
        <w:rPr>
          <w:i/>
          <w:iCs/>
        </w:rPr>
        <w:t>GKFG Data-Driven Decision-Making Program</w:t>
      </w:r>
    </w:p>
    <w:p w14:paraId="7E8660AC" w14:textId="77777777" w:rsidR="0025534A" w:rsidRDefault="001F7044">
      <w:r>
        <w:br w:type="page"/>
      </w:r>
    </w:p>
    <w:p w14:paraId="04379203" w14:textId="77777777" w:rsidR="0025534A" w:rsidRDefault="001F7044">
      <w:pPr>
        <w:pStyle w:val="Heading1"/>
        <w:spacing w:before="360" w:after="200"/>
      </w:pPr>
      <w:r>
        <w:rPr>
          <w:b/>
          <w:bCs/>
          <w:color w:val="C8102E"/>
        </w:rPr>
        <w:lastRenderedPageBreak/>
        <w:t>How This Exercise Works</w:t>
      </w:r>
    </w:p>
    <w:p w14:paraId="62E92360" w14:textId="77777777" w:rsidR="0025534A" w:rsidRDefault="001F7044">
      <w:pPr>
        <w:pStyle w:val="Heading3"/>
        <w:spacing w:before="220" w:after="100"/>
      </w:pPr>
      <w:r>
        <w:rPr>
          <w:b/>
          <w:bCs/>
        </w:rPr>
        <w:t>Your role</w:t>
      </w:r>
    </w:p>
    <w:p w14:paraId="24FF131C" w14:textId="49A126A0" w:rsidR="0025534A" w:rsidRDefault="001F7044">
      <w:pPr>
        <w:spacing w:before="80" w:after="80"/>
      </w:pPr>
      <w:r>
        <w:t xml:space="preserve">For the next </w:t>
      </w:r>
      <w:r w:rsidR="00293A1E">
        <w:t>exercises</w:t>
      </w:r>
      <w:r>
        <w:t xml:space="preserve">, your table is the GKFG executive committee. You are not representing your function. You are not representing your SBU. You are the </w:t>
      </w:r>
      <w:proofErr w:type="spellStart"/>
      <w:r>
        <w:t>ExCo</w:t>
      </w:r>
      <w:proofErr w:type="spellEnd"/>
      <w:r>
        <w:t xml:space="preserve"> — with full enterprise accountability for the next 24 months of strategic capacity.</w:t>
      </w:r>
    </w:p>
    <w:p w14:paraId="688CEEF6" w14:textId="77777777" w:rsidR="0025534A" w:rsidRDefault="001F7044">
      <w:pPr>
        <w:pStyle w:val="Heading3"/>
        <w:spacing w:before="220" w:after="100"/>
      </w:pPr>
      <w:r>
        <w:rPr>
          <w:b/>
          <w:bCs/>
        </w:rPr>
        <w:t>Your resource</w:t>
      </w:r>
    </w:p>
    <w:p w14:paraId="01B852C0" w14:textId="77777777" w:rsidR="0025534A" w:rsidRDefault="001F7044">
      <w:pPr>
        <w:spacing w:before="80" w:after="80"/>
      </w:pPr>
      <w:r>
        <w:t>Each table has 100 units of strategic capacity to allocate. Think of strategic capacity as a blended pool of:</w:t>
      </w:r>
    </w:p>
    <w:p w14:paraId="174B3B23" w14:textId="77777777" w:rsidR="0025534A" w:rsidRDefault="001F7044">
      <w:pPr>
        <w:pStyle w:val="ListParagraph"/>
        <w:numPr>
          <w:ilvl w:val="0"/>
          <w:numId w:val="2"/>
        </w:numPr>
        <w:spacing w:before="60" w:after="60"/>
      </w:pPr>
      <w:r>
        <w:t>Capital you can deploy</w:t>
      </w:r>
    </w:p>
    <w:p w14:paraId="3C2867B6" w14:textId="77777777" w:rsidR="0025534A" w:rsidRDefault="001F7044">
      <w:pPr>
        <w:pStyle w:val="ListParagraph"/>
        <w:numPr>
          <w:ilvl w:val="0"/>
          <w:numId w:val="2"/>
        </w:numPr>
        <w:spacing w:before="60" w:after="60"/>
      </w:pPr>
      <w:r>
        <w:t>Leadership attention your most senior people can give</w:t>
      </w:r>
    </w:p>
    <w:p w14:paraId="751F9239" w14:textId="77777777" w:rsidR="0025534A" w:rsidRDefault="001F7044">
      <w:pPr>
        <w:pStyle w:val="ListParagraph"/>
        <w:numPr>
          <w:ilvl w:val="0"/>
          <w:numId w:val="2"/>
        </w:numPr>
        <w:spacing w:before="60" w:after="60"/>
      </w:pPr>
      <w:r>
        <w:t>IT delivery throughput your technology organization can absorb</w:t>
      </w:r>
    </w:p>
    <w:p w14:paraId="57397E21" w14:textId="77777777" w:rsidR="0025534A" w:rsidRDefault="001F7044">
      <w:pPr>
        <w:spacing w:before="80" w:after="80"/>
      </w:pPr>
      <w:r>
        <w:t xml:space="preserve">You cannot exceed 100. You cannot solve every problem at once. Every choice forces a </w:t>
      </w:r>
      <w:proofErr w:type="gramStart"/>
      <w:r>
        <w:t>starve</w:t>
      </w:r>
      <w:proofErr w:type="gramEnd"/>
      <w:r>
        <w:t>.</w:t>
      </w:r>
    </w:p>
    <w:p w14:paraId="53A8A7B5" w14:textId="77777777" w:rsidR="0025534A" w:rsidRDefault="001F7044">
      <w:pPr>
        <w:pStyle w:val="Heading3"/>
        <w:spacing w:before="220" w:after="100"/>
      </w:pPr>
      <w:r>
        <w:rPr>
          <w:b/>
          <w:bCs/>
        </w:rPr>
        <w:t>Your horizon</w:t>
      </w:r>
    </w:p>
    <w:p w14:paraId="08369DEE" w14:textId="77777777" w:rsidR="0025534A" w:rsidRDefault="001F7044">
      <w:pPr>
        <w:spacing w:before="80" w:after="80"/>
      </w:pPr>
      <w:r>
        <w:t>24 months. The clock starts the day you walk out of this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6160"/>
      </w:tblGrid>
      <w:tr w:rsidR="0025534A" w14:paraId="223EF6F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20" w:type="dxa"/>
              <w:bottom w:w="100" w:type="dxa"/>
              <w:right w:w="120" w:type="dxa"/>
            </w:tcMar>
          </w:tcPr>
          <w:p w14:paraId="32555867" w14:textId="77777777" w:rsidR="0025534A" w:rsidRDefault="001F7044">
            <w:r>
              <w:rPr>
                <w:b/>
                <w:bCs/>
                <w:color w:val="FFFFFF"/>
              </w:rPr>
              <w:t>Round</w:t>
            </w:r>
          </w:p>
        </w:tc>
        <w:tc>
          <w:tcPr>
            <w:tcW w:w="150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20" w:type="dxa"/>
              <w:bottom w:w="100" w:type="dxa"/>
              <w:right w:w="120" w:type="dxa"/>
            </w:tcMar>
          </w:tcPr>
          <w:p w14:paraId="0F2D2FF4" w14:textId="77777777" w:rsidR="0025534A" w:rsidRDefault="001F7044">
            <w:r>
              <w:rPr>
                <w:b/>
                <w:bCs/>
                <w:color w:val="FFFFFF"/>
              </w:rPr>
              <w:t>Time</w:t>
            </w:r>
          </w:p>
        </w:tc>
        <w:tc>
          <w:tcPr>
            <w:tcW w:w="6160" w:type="dxa"/>
            <w:tcBorders>
              <w:top w:val="single" w:sz="4" w:space="0" w:color="BFBFBF"/>
              <w:left w:val="single" w:sz="4" w:space="0" w:color="BFBFBF"/>
              <w:bottom w:val="single" w:sz="4" w:space="0" w:color="BFBFBF"/>
              <w:right w:val="single" w:sz="4" w:space="0" w:color="BFBFBF"/>
            </w:tcBorders>
            <w:shd w:val="clear" w:color="auto" w:fill="C8102E"/>
            <w:tcMar>
              <w:top w:w="100" w:type="dxa"/>
              <w:left w:w="120" w:type="dxa"/>
              <w:bottom w:w="100" w:type="dxa"/>
              <w:right w:w="120" w:type="dxa"/>
            </w:tcMar>
          </w:tcPr>
          <w:p w14:paraId="53955086" w14:textId="77777777" w:rsidR="0025534A" w:rsidRDefault="001F7044">
            <w:r>
              <w:rPr>
                <w:b/>
                <w:bCs/>
                <w:color w:val="FFFFFF"/>
              </w:rPr>
              <w:t>What Happens</w:t>
            </w:r>
          </w:p>
        </w:tc>
      </w:tr>
      <w:tr w:rsidR="0025534A" w14:paraId="5BD4A40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494B30C" w14:textId="77777777" w:rsidR="0025534A" w:rsidRDefault="001F7044">
            <w:r>
              <w:rPr>
                <w:b/>
                <w:bCs/>
                <w:color w:val="000000"/>
              </w:rPr>
              <w:t>1. Allocate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7A5CD58" w14:textId="77777777" w:rsidR="0025534A" w:rsidRDefault="001F7044">
            <w:r>
              <w:rPr>
                <w:color w:val="000000"/>
              </w:rPr>
              <w:t>30 min</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EC377B7" w14:textId="77777777" w:rsidR="0025534A" w:rsidRDefault="001F7044">
            <w:r>
              <w:rPr>
                <w:color w:val="000000"/>
              </w:rPr>
              <w:t>Distribute your 100 units across the seven options. Document the reasoning. Name what you starved and why.</w:t>
            </w:r>
          </w:p>
        </w:tc>
      </w:tr>
      <w:tr w:rsidR="0025534A" w14:paraId="1F9804E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20" w:type="dxa"/>
              <w:bottom w:w="100" w:type="dxa"/>
              <w:right w:w="120" w:type="dxa"/>
            </w:tcMar>
          </w:tcPr>
          <w:p w14:paraId="07A4DCBD" w14:textId="77777777" w:rsidR="0025534A" w:rsidRDefault="001F7044">
            <w:r>
              <w:rPr>
                <w:b/>
                <w:bCs/>
                <w:color w:val="000000"/>
              </w:rPr>
              <w:t>2. Curveball</w:t>
            </w:r>
          </w:p>
        </w:tc>
        <w:tc>
          <w:tcPr>
            <w:tcW w:w="150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20" w:type="dxa"/>
              <w:bottom w:w="100" w:type="dxa"/>
              <w:right w:w="120" w:type="dxa"/>
            </w:tcMar>
          </w:tcPr>
          <w:p w14:paraId="5AB4E360" w14:textId="77777777" w:rsidR="0025534A" w:rsidRDefault="001F7044">
            <w:r>
              <w:rPr>
                <w:color w:val="000000"/>
              </w:rPr>
              <w:t>30 min</w:t>
            </w:r>
          </w:p>
        </w:tc>
        <w:tc>
          <w:tcPr>
            <w:tcW w:w="616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20" w:type="dxa"/>
              <w:bottom w:w="100" w:type="dxa"/>
              <w:right w:w="120" w:type="dxa"/>
            </w:tcMar>
          </w:tcPr>
          <w:p w14:paraId="6883B3DD" w14:textId="77777777" w:rsidR="0025534A" w:rsidRDefault="001F7044">
            <w:r>
              <w:rPr>
                <w:color w:val="000000"/>
              </w:rPr>
              <w:t>A scenario will land that changes the operating environment. Reallocate. Decide what stays fixed, what moves, and why.</w:t>
            </w:r>
          </w:p>
        </w:tc>
      </w:tr>
      <w:tr w:rsidR="0025534A" w14:paraId="05723F5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6009657" w14:textId="77777777" w:rsidR="0025534A" w:rsidRDefault="001F7044">
            <w:r>
              <w:rPr>
                <w:b/>
                <w:bCs/>
                <w:color w:val="000000"/>
              </w:rPr>
              <w:t>3. Present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F945694" w14:textId="49D16BD6" w:rsidR="0025534A" w:rsidRDefault="00293A1E">
            <w:r>
              <w:rPr>
                <w:color w:val="000000"/>
              </w:rPr>
              <w:t>45</w:t>
            </w:r>
            <w:r w:rsidR="001F7044">
              <w:rPr>
                <w:color w:val="000000"/>
              </w:rPr>
              <w:t xml:space="preserve"> min</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8CA56D6" w14:textId="77777777" w:rsidR="0025534A" w:rsidRDefault="001F7044">
            <w:r>
              <w:rPr>
                <w:color w:val="000000"/>
              </w:rPr>
              <w:t>Each table presents their final allocation. Other tables ask one question each. Trainer leads a debrief.</w:t>
            </w:r>
          </w:p>
        </w:tc>
      </w:tr>
    </w:tbl>
    <w:p w14:paraId="0AF3A560" w14:textId="77777777" w:rsidR="0025534A" w:rsidRDefault="001F7044">
      <w:pPr>
        <w:pStyle w:val="Heading3"/>
        <w:spacing w:before="220" w:after="100"/>
      </w:pPr>
      <w:r>
        <w:rPr>
          <w:b/>
          <w:bCs/>
        </w:rPr>
        <w:t>Rules of engagement</w:t>
      </w:r>
    </w:p>
    <w:p w14:paraId="401C0807" w14:textId="77777777" w:rsidR="0025534A" w:rsidRDefault="001F7044">
      <w:pPr>
        <w:pStyle w:val="ListParagraph"/>
        <w:numPr>
          <w:ilvl w:val="0"/>
          <w:numId w:val="2"/>
        </w:numPr>
        <w:spacing w:before="60" w:after="60"/>
      </w:pPr>
      <w:r>
        <w:rPr>
          <w:b/>
          <w:bCs/>
        </w:rPr>
        <w:t xml:space="preserve">Every allocation needs data-driven reasoning. </w:t>
      </w:r>
      <w:r>
        <w:t>“It feels right” is not an argument in this room.</w:t>
      </w:r>
    </w:p>
    <w:p w14:paraId="0E6CB835" w14:textId="77777777" w:rsidR="0025534A" w:rsidRDefault="001F7044">
      <w:pPr>
        <w:pStyle w:val="ListParagraph"/>
        <w:numPr>
          <w:ilvl w:val="0"/>
          <w:numId w:val="2"/>
        </w:numPr>
        <w:spacing w:before="60" w:after="60"/>
      </w:pPr>
      <w:r>
        <w:rPr>
          <w:b/>
          <w:bCs/>
        </w:rPr>
        <w:t xml:space="preserve">Name what you starved. </w:t>
      </w:r>
      <w:r>
        <w:t>Half of the work is defending what does not get funded.</w:t>
      </w:r>
    </w:p>
    <w:p w14:paraId="7BE37D8D" w14:textId="77777777" w:rsidR="0025534A" w:rsidRDefault="001F7044">
      <w:pPr>
        <w:pStyle w:val="ListParagraph"/>
        <w:numPr>
          <w:ilvl w:val="0"/>
          <w:numId w:val="2"/>
        </w:numPr>
        <w:spacing w:before="60" w:after="60"/>
      </w:pPr>
      <w:r>
        <w:rPr>
          <w:b/>
          <w:bCs/>
        </w:rPr>
        <w:t xml:space="preserve">If a strategic option is mis-framed, you may add an eighth. </w:t>
      </w:r>
      <w:r>
        <w:t>But you must justify it with the same rigor.</w:t>
      </w:r>
    </w:p>
    <w:p w14:paraId="6154822E" w14:textId="77777777" w:rsidR="0025534A" w:rsidRDefault="001F7044">
      <w:pPr>
        <w:pStyle w:val="ListParagraph"/>
        <w:numPr>
          <w:ilvl w:val="0"/>
          <w:numId w:val="2"/>
        </w:numPr>
        <w:spacing w:before="60" w:after="60"/>
      </w:pPr>
      <w:r>
        <w:rPr>
          <w:b/>
          <w:bCs/>
        </w:rPr>
        <w:t xml:space="preserve">There is no objectively correct answer. </w:t>
      </w:r>
      <w:r>
        <w:t>You win on the quality of your reasoning and the transparency of your assumptions.</w:t>
      </w:r>
    </w:p>
    <w:p w14:paraId="02131793" w14:textId="77777777" w:rsidR="0025534A" w:rsidRDefault="001F7044">
      <w:pPr>
        <w:pStyle w:val="ListParagraph"/>
        <w:numPr>
          <w:ilvl w:val="0"/>
          <w:numId w:val="2"/>
        </w:numPr>
        <w:spacing w:before="60" w:after="60"/>
      </w:pPr>
      <w:r>
        <w:rPr>
          <w:b/>
          <w:bCs/>
        </w:rPr>
        <w:t xml:space="preserve">Disagreement is welcome — even expected. </w:t>
      </w:r>
      <w:r>
        <w:t xml:space="preserve">Healthy </w:t>
      </w:r>
      <w:proofErr w:type="spellStart"/>
      <w:r>
        <w:t>ExCos</w:t>
      </w:r>
      <w:proofErr w:type="spellEnd"/>
      <w:r>
        <w:t xml:space="preserve"> disagree visibly before they decide.</w:t>
      </w:r>
    </w:p>
    <w:p w14:paraId="004C0B52" w14:textId="77777777" w:rsidR="0025534A" w:rsidRDefault="001F7044">
      <w:r>
        <w:br w:type="page"/>
      </w:r>
    </w:p>
    <w:p w14:paraId="005B094E" w14:textId="77777777" w:rsidR="0025534A" w:rsidRDefault="001F7044">
      <w:pPr>
        <w:pStyle w:val="Heading1"/>
        <w:spacing w:before="360" w:after="200"/>
      </w:pPr>
      <w:r>
        <w:rPr>
          <w:b/>
          <w:bCs/>
          <w:color w:val="C8102E"/>
        </w:rPr>
        <w:lastRenderedPageBreak/>
        <w:t>Strategic Context You Are Operating In</w:t>
      </w:r>
    </w:p>
    <w:p w14:paraId="3F80B7E0" w14:textId="77777777" w:rsidR="0025534A" w:rsidRDefault="001F7044">
      <w:pPr>
        <w:spacing w:before="80" w:after="80"/>
      </w:pPr>
      <w:r>
        <w:t>You are not allocating in a vacuum. The next 24 months at GKFG will be shaped by several intersecting realities. You do not need to address all of them — but your allocation will be judged against whether you considered them.</w:t>
      </w:r>
    </w:p>
    <w:p w14:paraId="481AD99D" w14:textId="77777777" w:rsidR="0025534A" w:rsidRDefault="001F7044">
      <w:pPr>
        <w:pStyle w:val="Heading3"/>
        <w:spacing w:before="220" w:after="100"/>
      </w:pPr>
      <w:r>
        <w:rPr>
          <w:b/>
          <w:bCs/>
        </w:rPr>
        <w:t>Hurricane Melissa and the rebuild context</w:t>
      </w:r>
    </w:p>
    <w:p w14:paraId="491B3AAB" w14:textId="77777777" w:rsidR="0025534A" w:rsidRDefault="001F7044">
      <w:pPr>
        <w:spacing w:before="80" w:after="80"/>
      </w:pPr>
      <w:r>
        <w:t>The affected parishes — St. Elizabeth, Hanover, Westmoreland, St. James, Trelawny, and Manchester — represent meaningful credit demand, real community need, elevated credit risk, and operational disruption. FGB has lending exposure. GKGI has claims exposure. GKMS is seeing remittance inflows. The integration question is unavoidable.</w:t>
      </w:r>
    </w:p>
    <w:p w14:paraId="34A69BC5" w14:textId="77777777" w:rsidR="0025534A" w:rsidRDefault="001F7044">
      <w:pPr>
        <w:pStyle w:val="Heading3"/>
        <w:spacing w:before="220" w:after="100"/>
      </w:pPr>
      <w:r>
        <w:rPr>
          <w:b/>
          <w:bCs/>
        </w:rPr>
        <w:t>GK One expansion across the wider Caribbean</w:t>
      </w:r>
    </w:p>
    <w:p w14:paraId="76B2B2C0" w14:textId="77777777" w:rsidR="0025534A" w:rsidRDefault="001F7044">
      <w:pPr>
        <w:spacing w:before="80" w:after="80"/>
      </w:pPr>
      <w:r>
        <w:t xml:space="preserve">Cayman, Guyana, and Trinidad &amp; Tobago each present different friction profiles. </w:t>
      </w:r>
      <w:proofErr w:type="gramStart"/>
      <w:r>
        <w:t>Adoption velocity</w:t>
      </w:r>
      <w:proofErr w:type="gramEnd"/>
      <w:r>
        <w:t xml:space="preserve"> is not uniform. The competitive window in each market is finite and asymmetric — a regional digital-banking entrant could close opportunities quickly.</w:t>
      </w:r>
    </w:p>
    <w:p w14:paraId="408055F4" w14:textId="77777777" w:rsidR="0025534A" w:rsidRDefault="001F7044">
      <w:pPr>
        <w:pStyle w:val="Heading3"/>
        <w:spacing w:before="220" w:after="100"/>
      </w:pPr>
      <w:r>
        <w:rPr>
          <w:b/>
          <w:bCs/>
        </w:rPr>
        <w:t>The GKGI–</w:t>
      </w:r>
      <w:proofErr w:type="spellStart"/>
      <w:r>
        <w:rPr>
          <w:b/>
          <w:bCs/>
        </w:rPr>
        <w:t>ScotiaProtect</w:t>
      </w:r>
      <w:proofErr w:type="spellEnd"/>
      <w:r>
        <w:rPr>
          <w:b/>
          <w:bCs/>
        </w:rPr>
        <w:t xml:space="preserve"> partnership</w:t>
      </w:r>
    </w:p>
    <w:p w14:paraId="166E4231" w14:textId="77777777" w:rsidR="0025534A" w:rsidRDefault="001F7044">
      <w:pPr>
        <w:spacing w:before="80" w:after="80"/>
      </w:pPr>
      <w:r>
        <w:t xml:space="preserve">The partnership offers regional insurance distribution leverage. </w:t>
      </w:r>
      <w:proofErr w:type="gramStart"/>
      <w:r>
        <w:t>Deepening it</w:t>
      </w:r>
      <w:proofErr w:type="gramEnd"/>
      <w:r>
        <w:t xml:space="preserve"> requires capital, operational coordination, and ongoing capacity — but it also de-risks GKGI’s growth in markets where GKFG’s own footprint is thin.</w:t>
      </w:r>
    </w:p>
    <w:p w14:paraId="1EEE0F65" w14:textId="77777777" w:rsidR="0025534A" w:rsidRDefault="001F7044">
      <w:pPr>
        <w:pStyle w:val="Heading3"/>
        <w:spacing w:before="220" w:after="100"/>
      </w:pPr>
      <w:r>
        <w:rPr>
          <w:b/>
          <w:bCs/>
        </w:rPr>
        <w:t>Money Services in transition</w:t>
      </w:r>
    </w:p>
    <w:p w14:paraId="2DD15502" w14:textId="77777777" w:rsidR="0025534A" w:rsidRDefault="001F7044">
      <w:pPr>
        <w:spacing w:before="80" w:after="80"/>
      </w:pPr>
      <w:r>
        <w:t>GKMS faces headwinds in some markets while GK One scales. The timing of the crossover — when digital remittance volume exceeds branch-based volume — is the strategic question. Misreading the timing in either direction has cost.</w:t>
      </w:r>
    </w:p>
    <w:p w14:paraId="52B6F3DC" w14:textId="77777777" w:rsidR="0025534A" w:rsidRDefault="001F7044">
      <w:pPr>
        <w:pStyle w:val="Heading3"/>
        <w:spacing w:before="220" w:after="100"/>
      </w:pPr>
      <w:r>
        <w:rPr>
          <w:b/>
          <w:bCs/>
        </w:rPr>
        <w:t>Cross-affiliation revenue and unified customer data</w:t>
      </w:r>
    </w:p>
    <w:p w14:paraId="4FB6195C" w14:textId="77777777" w:rsidR="0025534A" w:rsidRDefault="001F7044">
      <w:pPr>
        <w:spacing w:before="80" w:after="80"/>
      </w:pPr>
      <w:r>
        <w:t>The Customer Affiliation Dashboard you saw in Session 1 showed cells containing millions of customers — and cells containing 2 or 4. The thin cells are either integration failures or whitespace. Without unified customer data, you cannot reliably tell which.</w:t>
      </w:r>
    </w:p>
    <w:p w14:paraId="17F7C17B" w14:textId="77777777" w:rsidR="0025534A" w:rsidRDefault="001F7044">
      <w:pPr>
        <w:pStyle w:val="Heading3"/>
        <w:spacing w:before="220" w:after="100"/>
      </w:pPr>
      <w:r>
        <w:rPr>
          <w:b/>
          <w:bCs/>
        </w:rPr>
        <w:t>Risk, AML, and the regulatory environment</w:t>
      </w:r>
    </w:p>
    <w:p w14:paraId="16C6441C" w14:textId="77777777" w:rsidR="0025534A" w:rsidRDefault="001F7044">
      <w:pPr>
        <w:spacing w:before="80" w:after="80"/>
      </w:pPr>
      <w:r>
        <w:t>Caribbean regulators are increasingly active on AML, sanctions screening, and prudential capital. The cost of an AML failure is asymmetric: a single enforcement action can wipe out years of growth. Conversely, current AML alert processing is heavy on false positives — there is genuine analytics opportunity.</w:t>
      </w:r>
    </w:p>
    <w:p w14:paraId="4F2F9108" w14:textId="77777777" w:rsidR="0025534A" w:rsidRDefault="001F7044">
      <w:pPr>
        <w:pStyle w:val="Heading3"/>
        <w:spacing w:before="220" w:after="100"/>
      </w:pPr>
      <w:r>
        <w:rPr>
          <w:b/>
          <w:bCs/>
        </w:rPr>
        <w:t>Workforce and leadership pipeline</w:t>
      </w:r>
    </w:p>
    <w:p w14:paraId="6EDBB5D9" w14:textId="77777777" w:rsidR="0025534A" w:rsidRDefault="001F7044">
      <w:pPr>
        <w:spacing w:before="80" w:after="80"/>
      </w:pPr>
      <w:r>
        <w:t>GKFG has just been through a CEO transition. Voluntary attrition data shows pockets of pressure. Productivity differentials between top and median performers are wide. The leadership bench in some functions is thinner than the org chart suggests.</w:t>
      </w:r>
    </w:p>
    <w:p w14:paraId="7DDC2CC8" w14:textId="77777777" w:rsidR="0025534A" w:rsidRDefault="001F7044">
      <w:r>
        <w:br w:type="page"/>
      </w:r>
    </w:p>
    <w:p w14:paraId="02AEE4AE" w14:textId="77777777" w:rsidR="0025534A" w:rsidRDefault="001F7044">
      <w:pPr>
        <w:pStyle w:val="Heading1"/>
        <w:spacing w:before="360" w:after="200"/>
      </w:pPr>
      <w:r>
        <w:rPr>
          <w:b/>
          <w:bCs/>
          <w:color w:val="C8102E"/>
        </w:rPr>
        <w:lastRenderedPageBreak/>
        <w:t>Your Seven Strategic Options</w:t>
      </w:r>
    </w:p>
    <w:p w14:paraId="0A87899B" w14:textId="77777777" w:rsidR="0025534A" w:rsidRDefault="001F7044">
      <w:pPr>
        <w:spacing w:before="80" w:after="80"/>
      </w:pPr>
      <w:r>
        <w:t>Each option below is calibrated to GKFG’s actual strategic posture. The data context is illustrative, not authoritative — you are expected to use judgment about which signals matter most.</w:t>
      </w:r>
    </w:p>
    <w:p w14:paraId="0CB6C11A" w14:textId="77777777" w:rsidR="0025534A" w:rsidRDefault="0025534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34A" w14:paraId="3FAEC776" w14:textId="77777777">
        <w:tblPrEx>
          <w:tblCellMar>
            <w:top w:w="0" w:type="dxa"/>
            <w:bottom w:w="0" w:type="dxa"/>
          </w:tblCellMar>
        </w:tblPrEx>
        <w:tc>
          <w:tcPr>
            <w:tcW w:w="9360" w:type="dxa"/>
            <w:tcBorders>
              <w:top w:val="single" w:sz="6" w:space="0" w:color="C8102E"/>
              <w:left w:val="single" w:sz="6" w:space="0" w:color="C8102E"/>
              <w:bottom w:val="single" w:sz="4" w:space="0" w:color="BFBFBF"/>
              <w:right w:val="single" w:sz="6" w:space="0" w:color="C8102E"/>
            </w:tcBorders>
            <w:shd w:val="clear" w:color="auto" w:fill="C8102E"/>
            <w:tcMar>
              <w:top w:w="100" w:type="dxa"/>
              <w:left w:w="200" w:type="dxa"/>
              <w:bottom w:w="100" w:type="dxa"/>
              <w:right w:w="200" w:type="dxa"/>
            </w:tcMar>
          </w:tcPr>
          <w:p w14:paraId="5A1AB8FC" w14:textId="77777777" w:rsidR="0025534A" w:rsidRDefault="001F7044">
            <w:pPr>
              <w:spacing w:before="40" w:after="20"/>
            </w:pPr>
            <w:r>
              <w:rPr>
                <w:b/>
                <w:bCs/>
                <w:color w:val="FFFFFF"/>
              </w:rPr>
              <w:t xml:space="preserve">Option </w:t>
            </w:r>
            <w:proofErr w:type="gramStart"/>
            <w:r>
              <w:rPr>
                <w:b/>
                <w:bCs/>
                <w:color w:val="FFFFFF"/>
              </w:rPr>
              <w:t>1  |</w:t>
            </w:r>
            <w:proofErr w:type="gramEnd"/>
            <w:r>
              <w:rPr>
                <w:b/>
                <w:bCs/>
                <w:color w:val="FFFFFF"/>
              </w:rPr>
              <w:t xml:space="preserve">  </w:t>
            </w:r>
            <w:r>
              <w:rPr>
                <w:i/>
                <w:iCs/>
                <w:color w:val="FFFFFF"/>
              </w:rPr>
              <w:t>Cayman, Guyana, Trinidad &amp; Tobago</w:t>
            </w:r>
          </w:p>
          <w:p w14:paraId="4E376F1F" w14:textId="77777777" w:rsidR="0025534A" w:rsidRDefault="001F7044">
            <w:pPr>
              <w:spacing w:before="20" w:after="40"/>
            </w:pPr>
            <w:r>
              <w:rPr>
                <w:b/>
                <w:bCs/>
                <w:color w:val="FFFFFF"/>
                <w:sz w:val="28"/>
                <w:szCs w:val="28"/>
              </w:rPr>
              <w:t>Accelerate GK One Expansion</w:t>
            </w:r>
          </w:p>
        </w:tc>
      </w:tr>
      <w:tr w:rsidR="0025534A" w14:paraId="4C231545" w14:textId="77777777">
        <w:tblPrEx>
          <w:tblCellMar>
            <w:top w:w="0" w:type="dxa"/>
            <w:bottom w:w="0" w:type="dxa"/>
          </w:tblCellMar>
        </w:tblPrEx>
        <w:tc>
          <w:tcPr>
            <w:tcW w:w="9360" w:type="dxa"/>
            <w:tcBorders>
              <w:top w:val="single" w:sz="4" w:space="0" w:color="BFBFBF"/>
              <w:left w:val="single" w:sz="6" w:space="0" w:color="C8102E"/>
              <w:bottom w:val="single" w:sz="6" w:space="0" w:color="C8102E"/>
              <w:right w:val="single" w:sz="6" w:space="0" w:color="C8102E"/>
            </w:tcBorders>
            <w:tcMar>
              <w:top w:w="120" w:type="dxa"/>
              <w:left w:w="200" w:type="dxa"/>
              <w:bottom w:w="120" w:type="dxa"/>
              <w:right w:w="200" w:type="dxa"/>
            </w:tcMar>
          </w:tcPr>
          <w:p w14:paraId="2F26D37C" w14:textId="77777777" w:rsidR="0025534A" w:rsidRDefault="001F7044">
            <w:pPr>
              <w:spacing w:before="60" w:after="60"/>
            </w:pPr>
            <w:r>
              <w:rPr>
                <w:b/>
                <w:bCs/>
                <w:color w:val="1F4D78"/>
              </w:rPr>
              <w:t>Data Context</w:t>
            </w:r>
          </w:p>
          <w:p w14:paraId="7F8BF8CF" w14:textId="77777777" w:rsidR="0025534A" w:rsidRDefault="001F7044">
            <w:pPr>
              <w:pStyle w:val="ListParagraph"/>
              <w:numPr>
                <w:ilvl w:val="0"/>
                <w:numId w:val="2"/>
              </w:numPr>
              <w:spacing w:before="40" w:after="40"/>
            </w:pPr>
            <w:r>
              <w:rPr>
                <w:sz w:val="20"/>
                <w:szCs w:val="20"/>
              </w:rPr>
              <w:t>GK One adoption in Jamaica is at ~42% of FGB transacting customers; Guyana is ~31% and plateauing</w:t>
            </w:r>
          </w:p>
          <w:p w14:paraId="37D52951" w14:textId="77777777" w:rsidR="0025534A" w:rsidRDefault="001F7044">
            <w:pPr>
              <w:pStyle w:val="ListParagraph"/>
              <w:numPr>
                <w:ilvl w:val="0"/>
                <w:numId w:val="2"/>
              </w:numPr>
              <w:spacing w:before="40" w:after="40"/>
            </w:pPr>
            <w:r>
              <w:rPr>
                <w:sz w:val="20"/>
                <w:szCs w:val="20"/>
              </w:rPr>
              <w:t>Cayman is the highest-margin remittance corridor; Trinidad has the largest underbanked digital opportunity</w:t>
            </w:r>
          </w:p>
          <w:p w14:paraId="079ED5AE" w14:textId="77777777" w:rsidR="0025534A" w:rsidRDefault="001F7044">
            <w:pPr>
              <w:pStyle w:val="ListParagraph"/>
              <w:numPr>
                <w:ilvl w:val="0"/>
                <w:numId w:val="2"/>
              </w:numPr>
              <w:spacing w:before="40" w:after="40"/>
            </w:pPr>
            <w:r>
              <w:rPr>
                <w:sz w:val="20"/>
                <w:szCs w:val="20"/>
              </w:rPr>
              <w:t>Competitive window: at least two regional fintechs are reportedly preparing market entry in the next 12–18 months</w:t>
            </w:r>
          </w:p>
          <w:p w14:paraId="73783219" w14:textId="77777777" w:rsidR="0025534A" w:rsidRDefault="001F7044">
            <w:pPr>
              <w:pStyle w:val="ListParagraph"/>
              <w:numPr>
                <w:ilvl w:val="0"/>
                <w:numId w:val="2"/>
              </w:numPr>
              <w:spacing w:before="40" w:after="40"/>
            </w:pPr>
            <w:r>
              <w:rPr>
                <w:sz w:val="20"/>
                <w:szCs w:val="20"/>
              </w:rPr>
              <w:t>Per-transaction digital cost is roughly 40–60% lower than branch equivalent</w:t>
            </w:r>
          </w:p>
          <w:p w14:paraId="6526EAA2" w14:textId="77777777" w:rsidR="0025534A" w:rsidRDefault="0025534A"/>
          <w:p w14:paraId="210424F1" w14:textId="77777777" w:rsidR="0025534A" w:rsidRDefault="001F7044">
            <w:pPr>
              <w:spacing w:before="60" w:after="60"/>
            </w:pPr>
            <w:r>
              <w:rPr>
                <w:b/>
                <w:bCs/>
                <w:color w:val="1F4D78"/>
              </w:rPr>
              <w:t>Key Considerations</w:t>
            </w:r>
          </w:p>
          <w:p w14:paraId="3709EE18" w14:textId="77777777" w:rsidR="0025534A" w:rsidRDefault="001F7044">
            <w:pPr>
              <w:pStyle w:val="ListParagraph"/>
              <w:numPr>
                <w:ilvl w:val="0"/>
                <w:numId w:val="2"/>
              </w:numPr>
              <w:spacing w:before="40" w:after="40"/>
            </w:pPr>
            <w:r>
              <w:rPr>
                <w:sz w:val="20"/>
                <w:szCs w:val="20"/>
              </w:rPr>
              <w:t>Each market has distinct friction (regulatory, awareness, onboarding)</w:t>
            </w:r>
          </w:p>
          <w:p w14:paraId="12FFDF92" w14:textId="77777777" w:rsidR="0025534A" w:rsidRDefault="001F7044">
            <w:pPr>
              <w:pStyle w:val="ListParagraph"/>
              <w:numPr>
                <w:ilvl w:val="0"/>
                <w:numId w:val="2"/>
              </w:numPr>
              <w:spacing w:before="40" w:after="40"/>
            </w:pPr>
            <w:r>
              <w:rPr>
                <w:sz w:val="20"/>
                <w:szCs w:val="20"/>
              </w:rPr>
              <w:t>Aggressive expansion risks brand quality if onboarding scales faster than support</w:t>
            </w:r>
          </w:p>
          <w:p w14:paraId="7D309723" w14:textId="77777777" w:rsidR="0025534A" w:rsidRDefault="001F7044">
            <w:pPr>
              <w:pStyle w:val="ListParagraph"/>
              <w:numPr>
                <w:ilvl w:val="0"/>
                <w:numId w:val="2"/>
              </w:numPr>
              <w:spacing w:before="40" w:after="40"/>
            </w:pPr>
            <w:r>
              <w:rPr>
                <w:sz w:val="20"/>
                <w:szCs w:val="20"/>
              </w:rPr>
              <w:t>Pull-through to FGB and GKGI cross-sell is theoretical until tested</w:t>
            </w:r>
          </w:p>
        </w:tc>
      </w:tr>
    </w:tbl>
    <w:p w14:paraId="78F3E622" w14:textId="77777777" w:rsidR="0025534A" w:rsidRDefault="0025534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34A" w14:paraId="0BA22BE2" w14:textId="77777777">
        <w:tblPrEx>
          <w:tblCellMar>
            <w:top w:w="0" w:type="dxa"/>
            <w:bottom w:w="0" w:type="dxa"/>
          </w:tblCellMar>
        </w:tblPrEx>
        <w:tc>
          <w:tcPr>
            <w:tcW w:w="9360" w:type="dxa"/>
            <w:tcBorders>
              <w:top w:val="single" w:sz="6" w:space="0" w:color="C8102E"/>
              <w:left w:val="single" w:sz="6" w:space="0" w:color="C8102E"/>
              <w:bottom w:val="single" w:sz="4" w:space="0" w:color="BFBFBF"/>
              <w:right w:val="single" w:sz="6" w:space="0" w:color="C8102E"/>
            </w:tcBorders>
            <w:shd w:val="clear" w:color="auto" w:fill="C8102E"/>
            <w:tcMar>
              <w:top w:w="100" w:type="dxa"/>
              <w:left w:w="200" w:type="dxa"/>
              <w:bottom w:w="100" w:type="dxa"/>
              <w:right w:w="200" w:type="dxa"/>
            </w:tcMar>
          </w:tcPr>
          <w:p w14:paraId="3FD0A009" w14:textId="77777777" w:rsidR="0025534A" w:rsidRDefault="001F7044">
            <w:pPr>
              <w:spacing w:before="40" w:after="20"/>
            </w:pPr>
            <w:r>
              <w:rPr>
                <w:b/>
                <w:bCs/>
                <w:color w:val="FFFFFF"/>
              </w:rPr>
              <w:t xml:space="preserve">Option </w:t>
            </w:r>
            <w:proofErr w:type="gramStart"/>
            <w:r>
              <w:rPr>
                <w:b/>
                <w:bCs/>
                <w:color w:val="FFFFFF"/>
              </w:rPr>
              <w:t>2  |</w:t>
            </w:r>
            <w:proofErr w:type="gramEnd"/>
            <w:r>
              <w:rPr>
                <w:b/>
                <w:bCs/>
                <w:color w:val="FFFFFF"/>
              </w:rPr>
              <w:t xml:space="preserve">  </w:t>
            </w:r>
            <w:r>
              <w:rPr>
                <w:i/>
                <w:iCs/>
                <w:color w:val="FFFFFF"/>
              </w:rPr>
              <w:t>GK General Insurance (regional)</w:t>
            </w:r>
          </w:p>
          <w:p w14:paraId="41985282" w14:textId="77777777" w:rsidR="0025534A" w:rsidRDefault="001F7044">
            <w:pPr>
              <w:spacing w:before="20" w:after="40"/>
            </w:pPr>
            <w:r>
              <w:rPr>
                <w:b/>
                <w:bCs/>
                <w:color w:val="FFFFFF"/>
                <w:sz w:val="28"/>
                <w:szCs w:val="28"/>
              </w:rPr>
              <w:t>Deepen GKGI–</w:t>
            </w:r>
            <w:proofErr w:type="spellStart"/>
            <w:r>
              <w:rPr>
                <w:b/>
                <w:bCs/>
                <w:color w:val="FFFFFF"/>
                <w:sz w:val="28"/>
                <w:szCs w:val="28"/>
              </w:rPr>
              <w:t>ScotiaProtect</w:t>
            </w:r>
            <w:proofErr w:type="spellEnd"/>
            <w:r>
              <w:rPr>
                <w:b/>
                <w:bCs/>
                <w:color w:val="FFFFFF"/>
                <w:sz w:val="28"/>
                <w:szCs w:val="28"/>
              </w:rPr>
              <w:t xml:space="preserve"> Partnership</w:t>
            </w:r>
          </w:p>
        </w:tc>
      </w:tr>
      <w:tr w:rsidR="0025534A" w14:paraId="7F64E556" w14:textId="77777777">
        <w:tblPrEx>
          <w:tblCellMar>
            <w:top w:w="0" w:type="dxa"/>
            <w:bottom w:w="0" w:type="dxa"/>
          </w:tblCellMar>
        </w:tblPrEx>
        <w:tc>
          <w:tcPr>
            <w:tcW w:w="9360" w:type="dxa"/>
            <w:tcBorders>
              <w:top w:val="single" w:sz="4" w:space="0" w:color="BFBFBF"/>
              <w:left w:val="single" w:sz="6" w:space="0" w:color="C8102E"/>
              <w:bottom w:val="single" w:sz="6" w:space="0" w:color="C8102E"/>
              <w:right w:val="single" w:sz="6" w:space="0" w:color="C8102E"/>
            </w:tcBorders>
            <w:tcMar>
              <w:top w:w="120" w:type="dxa"/>
              <w:left w:w="200" w:type="dxa"/>
              <w:bottom w:w="120" w:type="dxa"/>
              <w:right w:w="200" w:type="dxa"/>
            </w:tcMar>
          </w:tcPr>
          <w:p w14:paraId="677A2ABB" w14:textId="77777777" w:rsidR="0025534A" w:rsidRDefault="001F7044">
            <w:pPr>
              <w:spacing w:before="60" w:after="60"/>
            </w:pPr>
            <w:r>
              <w:rPr>
                <w:b/>
                <w:bCs/>
                <w:color w:val="1F4D78"/>
              </w:rPr>
              <w:t>Data Context</w:t>
            </w:r>
          </w:p>
          <w:p w14:paraId="54C63986" w14:textId="77777777" w:rsidR="0025534A" w:rsidRDefault="001F7044">
            <w:pPr>
              <w:pStyle w:val="ListParagraph"/>
              <w:numPr>
                <w:ilvl w:val="0"/>
                <w:numId w:val="2"/>
              </w:numPr>
              <w:spacing w:before="40" w:after="40"/>
            </w:pPr>
            <w:r>
              <w:rPr>
                <w:sz w:val="20"/>
                <w:szCs w:val="20"/>
              </w:rPr>
              <w:t>Partnership provides distribution leverage across Scotia’s Caribbean banking footprint</w:t>
            </w:r>
          </w:p>
          <w:p w14:paraId="5399B19B" w14:textId="77777777" w:rsidR="0025534A" w:rsidRDefault="001F7044">
            <w:pPr>
              <w:pStyle w:val="ListParagraph"/>
              <w:numPr>
                <w:ilvl w:val="0"/>
                <w:numId w:val="2"/>
              </w:numPr>
              <w:spacing w:before="40" w:after="40"/>
            </w:pPr>
            <w:r>
              <w:rPr>
                <w:sz w:val="20"/>
                <w:szCs w:val="20"/>
              </w:rPr>
              <w:t>GKGI motor and property portfolios have grown high single-digits; combined ratio under pressure post-Melissa</w:t>
            </w:r>
          </w:p>
          <w:p w14:paraId="4A3F5EAD" w14:textId="77777777" w:rsidR="0025534A" w:rsidRDefault="001F7044">
            <w:pPr>
              <w:pStyle w:val="ListParagraph"/>
              <w:numPr>
                <w:ilvl w:val="0"/>
                <w:numId w:val="2"/>
              </w:numPr>
              <w:spacing w:before="40" w:after="40"/>
            </w:pPr>
            <w:r>
              <w:rPr>
                <w:sz w:val="20"/>
                <w:szCs w:val="20"/>
              </w:rPr>
              <w:t>Parametric coverage (GK Weather Protect) is a differentiator regional competitors lack</w:t>
            </w:r>
          </w:p>
          <w:p w14:paraId="7C1FE4BE" w14:textId="77777777" w:rsidR="0025534A" w:rsidRDefault="001F7044">
            <w:pPr>
              <w:pStyle w:val="ListParagraph"/>
              <w:numPr>
                <w:ilvl w:val="0"/>
                <w:numId w:val="2"/>
              </w:numPr>
              <w:spacing w:before="40" w:after="40"/>
            </w:pPr>
            <w:r>
              <w:rPr>
                <w:sz w:val="20"/>
                <w:szCs w:val="20"/>
              </w:rPr>
              <w:t>Capital intensity of insurance scaling is non-trivial — every 10% growth requires reserves</w:t>
            </w:r>
          </w:p>
          <w:p w14:paraId="6E973B51" w14:textId="77777777" w:rsidR="0025534A" w:rsidRDefault="0025534A"/>
          <w:p w14:paraId="3ACB7AA7" w14:textId="77777777" w:rsidR="0025534A" w:rsidRDefault="001F7044">
            <w:pPr>
              <w:spacing w:before="60" w:after="60"/>
            </w:pPr>
            <w:r>
              <w:rPr>
                <w:b/>
                <w:bCs/>
                <w:color w:val="1F4D78"/>
              </w:rPr>
              <w:t>Key Considerations</w:t>
            </w:r>
          </w:p>
          <w:p w14:paraId="2B2D259F" w14:textId="77777777" w:rsidR="0025534A" w:rsidRDefault="001F7044">
            <w:pPr>
              <w:pStyle w:val="ListParagraph"/>
              <w:numPr>
                <w:ilvl w:val="0"/>
                <w:numId w:val="2"/>
              </w:numPr>
              <w:spacing w:before="40" w:after="40"/>
            </w:pPr>
            <w:r>
              <w:rPr>
                <w:sz w:val="20"/>
                <w:szCs w:val="20"/>
              </w:rPr>
              <w:t xml:space="preserve">Partnership economics </w:t>
            </w:r>
            <w:proofErr w:type="gramStart"/>
            <w:r>
              <w:rPr>
                <w:sz w:val="20"/>
                <w:szCs w:val="20"/>
              </w:rPr>
              <w:t>depend</w:t>
            </w:r>
            <w:proofErr w:type="gramEnd"/>
            <w:r>
              <w:rPr>
                <w:sz w:val="20"/>
                <w:szCs w:val="20"/>
              </w:rPr>
              <w:t xml:space="preserve"> on terms that may shift</w:t>
            </w:r>
          </w:p>
          <w:p w14:paraId="7E090D24" w14:textId="77777777" w:rsidR="0025534A" w:rsidRDefault="001F7044">
            <w:pPr>
              <w:pStyle w:val="ListParagraph"/>
              <w:numPr>
                <w:ilvl w:val="0"/>
                <w:numId w:val="2"/>
              </w:numPr>
              <w:spacing w:before="40" w:after="40"/>
            </w:pPr>
            <w:r>
              <w:rPr>
                <w:sz w:val="20"/>
                <w:szCs w:val="20"/>
              </w:rPr>
              <w:t>Distribution scale without underwriting discipline destroys book quality</w:t>
            </w:r>
          </w:p>
          <w:p w14:paraId="3C4A09C0" w14:textId="77777777" w:rsidR="0025534A" w:rsidRDefault="001F7044">
            <w:pPr>
              <w:pStyle w:val="ListParagraph"/>
              <w:numPr>
                <w:ilvl w:val="0"/>
                <w:numId w:val="2"/>
              </w:numPr>
              <w:spacing w:before="40" w:after="40"/>
            </w:pPr>
            <w:r>
              <w:rPr>
                <w:sz w:val="20"/>
                <w:szCs w:val="20"/>
              </w:rPr>
              <w:t>Strategic dependence on a single partner is itself a risk</w:t>
            </w:r>
          </w:p>
        </w:tc>
      </w:tr>
    </w:tbl>
    <w:p w14:paraId="5CBF053C" w14:textId="77777777" w:rsidR="0025534A" w:rsidRDefault="001F704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34A" w14:paraId="025418AB" w14:textId="77777777">
        <w:tblPrEx>
          <w:tblCellMar>
            <w:top w:w="0" w:type="dxa"/>
            <w:bottom w:w="0" w:type="dxa"/>
          </w:tblCellMar>
        </w:tblPrEx>
        <w:tc>
          <w:tcPr>
            <w:tcW w:w="9360" w:type="dxa"/>
            <w:tcBorders>
              <w:top w:val="single" w:sz="6" w:space="0" w:color="C8102E"/>
              <w:left w:val="single" w:sz="6" w:space="0" w:color="C8102E"/>
              <w:bottom w:val="single" w:sz="4" w:space="0" w:color="BFBFBF"/>
              <w:right w:val="single" w:sz="6" w:space="0" w:color="C8102E"/>
            </w:tcBorders>
            <w:shd w:val="clear" w:color="auto" w:fill="C8102E"/>
            <w:tcMar>
              <w:top w:w="100" w:type="dxa"/>
              <w:left w:w="200" w:type="dxa"/>
              <w:bottom w:w="100" w:type="dxa"/>
              <w:right w:w="200" w:type="dxa"/>
            </w:tcMar>
          </w:tcPr>
          <w:p w14:paraId="2738A557" w14:textId="77777777" w:rsidR="0025534A" w:rsidRDefault="001F7044">
            <w:pPr>
              <w:spacing w:before="40" w:after="20"/>
            </w:pPr>
            <w:r>
              <w:rPr>
                <w:b/>
                <w:bCs/>
                <w:color w:val="FFFFFF"/>
              </w:rPr>
              <w:lastRenderedPageBreak/>
              <w:t xml:space="preserve">Option </w:t>
            </w:r>
            <w:proofErr w:type="gramStart"/>
            <w:r>
              <w:rPr>
                <w:b/>
                <w:bCs/>
                <w:color w:val="FFFFFF"/>
              </w:rPr>
              <w:t>3  |</w:t>
            </w:r>
            <w:proofErr w:type="gramEnd"/>
            <w:r>
              <w:rPr>
                <w:b/>
                <w:bCs/>
                <w:color w:val="FFFFFF"/>
              </w:rPr>
              <w:t xml:space="preserve">  </w:t>
            </w:r>
            <w:r>
              <w:rPr>
                <w:i/>
                <w:iCs/>
                <w:color w:val="FFFFFF"/>
              </w:rPr>
              <w:t>First Global Bank (Western Jamaica)</w:t>
            </w:r>
          </w:p>
          <w:p w14:paraId="432BCC94" w14:textId="77777777" w:rsidR="0025534A" w:rsidRDefault="001F7044">
            <w:pPr>
              <w:spacing w:before="20" w:after="40"/>
            </w:pPr>
            <w:r>
              <w:rPr>
                <w:b/>
                <w:bCs/>
                <w:color w:val="FFFFFF"/>
                <w:sz w:val="28"/>
                <w:szCs w:val="28"/>
              </w:rPr>
              <w:t>Expand FGB Lending in Post-Melissa Rebuild</w:t>
            </w:r>
          </w:p>
        </w:tc>
      </w:tr>
      <w:tr w:rsidR="0025534A" w14:paraId="51E21125" w14:textId="77777777">
        <w:tblPrEx>
          <w:tblCellMar>
            <w:top w:w="0" w:type="dxa"/>
            <w:bottom w:w="0" w:type="dxa"/>
          </w:tblCellMar>
        </w:tblPrEx>
        <w:tc>
          <w:tcPr>
            <w:tcW w:w="9360" w:type="dxa"/>
            <w:tcBorders>
              <w:top w:val="single" w:sz="4" w:space="0" w:color="BFBFBF"/>
              <w:left w:val="single" w:sz="6" w:space="0" w:color="C8102E"/>
              <w:bottom w:val="single" w:sz="6" w:space="0" w:color="C8102E"/>
              <w:right w:val="single" w:sz="6" w:space="0" w:color="C8102E"/>
            </w:tcBorders>
            <w:tcMar>
              <w:top w:w="120" w:type="dxa"/>
              <w:left w:w="200" w:type="dxa"/>
              <w:bottom w:w="120" w:type="dxa"/>
              <w:right w:w="200" w:type="dxa"/>
            </w:tcMar>
          </w:tcPr>
          <w:p w14:paraId="6F4315DC" w14:textId="77777777" w:rsidR="0025534A" w:rsidRDefault="001F7044">
            <w:pPr>
              <w:spacing w:before="60" w:after="60"/>
            </w:pPr>
            <w:r>
              <w:rPr>
                <w:b/>
                <w:bCs/>
                <w:color w:val="1F4D78"/>
              </w:rPr>
              <w:t>Data Context</w:t>
            </w:r>
          </w:p>
          <w:p w14:paraId="7BAA8C89" w14:textId="77777777" w:rsidR="0025534A" w:rsidRDefault="001F7044">
            <w:pPr>
              <w:pStyle w:val="ListParagraph"/>
              <w:numPr>
                <w:ilvl w:val="0"/>
                <w:numId w:val="2"/>
              </w:numPr>
              <w:spacing w:before="40" w:after="40"/>
            </w:pPr>
            <w:r>
              <w:rPr>
                <w:sz w:val="20"/>
                <w:szCs w:val="20"/>
              </w:rPr>
              <w:t>Affected parishes: St. Elizabeth, Hanover, Westmoreland, St. James, Trelawny, Manchester</w:t>
            </w:r>
          </w:p>
          <w:p w14:paraId="58DE5F06" w14:textId="77777777" w:rsidR="0025534A" w:rsidRDefault="001F7044">
            <w:pPr>
              <w:pStyle w:val="ListParagraph"/>
              <w:numPr>
                <w:ilvl w:val="0"/>
                <w:numId w:val="2"/>
              </w:numPr>
              <w:spacing w:before="40" w:after="40"/>
            </w:pPr>
            <w:r>
              <w:rPr>
                <w:sz w:val="20"/>
                <w:szCs w:val="20"/>
              </w:rPr>
              <w:t>Historical NPL rates in these parishes were stable; post-event projections highly uncertain</w:t>
            </w:r>
          </w:p>
          <w:p w14:paraId="65F061BD" w14:textId="77777777" w:rsidR="0025534A" w:rsidRDefault="001F7044">
            <w:pPr>
              <w:pStyle w:val="ListParagraph"/>
              <w:numPr>
                <w:ilvl w:val="0"/>
                <w:numId w:val="2"/>
              </w:numPr>
              <w:spacing w:before="40" w:after="40"/>
            </w:pPr>
            <w:r>
              <w:rPr>
                <w:sz w:val="20"/>
                <w:szCs w:val="20"/>
              </w:rPr>
              <w:t>GKGI is processing claims in the same parishes — settlement liquidity returning</w:t>
            </w:r>
          </w:p>
          <w:p w14:paraId="51E27377" w14:textId="77777777" w:rsidR="0025534A" w:rsidRDefault="001F7044">
            <w:pPr>
              <w:pStyle w:val="ListParagraph"/>
              <w:numPr>
                <w:ilvl w:val="0"/>
                <w:numId w:val="2"/>
              </w:numPr>
              <w:spacing w:before="40" w:after="40"/>
            </w:pPr>
            <w:r>
              <w:rPr>
                <w:sz w:val="20"/>
                <w:szCs w:val="20"/>
              </w:rPr>
              <w:t>GKMS remittance inflows to affected parishes have spiked, suggesting external capital flowing in</w:t>
            </w:r>
          </w:p>
          <w:p w14:paraId="777473F8" w14:textId="77777777" w:rsidR="0025534A" w:rsidRDefault="001F7044">
            <w:pPr>
              <w:pStyle w:val="ListParagraph"/>
              <w:numPr>
                <w:ilvl w:val="0"/>
                <w:numId w:val="2"/>
              </w:numPr>
              <w:spacing w:before="40" w:after="40"/>
            </w:pPr>
            <w:r>
              <w:rPr>
                <w:sz w:val="20"/>
                <w:szCs w:val="20"/>
              </w:rPr>
              <w:t>Loan demand pipeline strong; competitor lenders pulling back</w:t>
            </w:r>
          </w:p>
          <w:p w14:paraId="4991E5D5" w14:textId="77777777" w:rsidR="0025534A" w:rsidRDefault="0025534A"/>
          <w:p w14:paraId="7D2AF637" w14:textId="77777777" w:rsidR="0025534A" w:rsidRDefault="001F7044">
            <w:pPr>
              <w:spacing w:before="60" w:after="60"/>
            </w:pPr>
            <w:r>
              <w:rPr>
                <w:b/>
                <w:bCs/>
                <w:color w:val="1F4D78"/>
              </w:rPr>
              <w:t>Key Considerations</w:t>
            </w:r>
          </w:p>
          <w:p w14:paraId="74349403" w14:textId="77777777" w:rsidR="0025534A" w:rsidRDefault="001F7044">
            <w:pPr>
              <w:pStyle w:val="ListParagraph"/>
              <w:numPr>
                <w:ilvl w:val="0"/>
                <w:numId w:val="2"/>
              </w:numPr>
              <w:spacing w:before="40" w:after="40"/>
            </w:pPr>
            <w:r>
              <w:rPr>
                <w:sz w:val="20"/>
                <w:szCs w:val="20"/>
              </w:rPr>
              <w:t>Genuine community obligation alongside genuine credit risk</w:t>
            </w:r>
          </w:p>
          <w:p w14:paraId="201F36FF" w14:textId="77777777" w:rsidR="0025534A" w:rsidRDefault="001F7044">
            <w:pPr>
              <w:pStyle w:val="ListParagraph"/>
              <w:numPr>
                <w:ilvl w:val="0"/>
                <w:numId w:val="2"/>
              </w:numPr>
              <w:spacing w:before="40" w:after="40"/>
            </w:pPr>
            <w:r>
              <w:rPr>
                <w:sz w:val="20"/>
                <w:szCs w:val="20"/>
              </w:rPr>
              <w:t>Risk controls are essential — not optional</w:t>
            </w:r>
          </w:p>
          <w:p w14:paraId="688D8A82" w14:textId="77777777" w:rsidR="0025534A" w:rsidRDefault="001F7044">
            <w:pPr>
              <w:pStyle w:val="ListParagraph"/>
              <w:numPr>
                <w:ilvl w:val="0"/>
                <w:numId w:val="2"/>
              </w:numPr>
              <w:spacing w:before="40" w:after="40"/>
            </w:pPr>
            <w:r>
              <w:rPr>
                <w:sz w:val="20"/>
                <w:szCs w:val="20"/>
              </w:rPr>
              <w:t>Reputational upside (or downside) is significant</w:t>
            </w:r>
          </w:p>
          <w:p w14:paraId="19078E12" w14:textId="77777777" w:rsidR="0025534A" w:rsidRDefault="001F7044">
            <w:pPr>
              <w:pStyle w:val="ListParagraph"/>
              <w:numPr>
                <w:ilvl w:val="0"/>
                <w:numId w:val="2"/>
              </w:numPr>
              <w:spacing w:before="40" w:after="40"/>
            </w:pPr>
            <w:r>
              <w:rPr>
                <w:sz w:val="20"/>
                <w:szCs w:val="20"/>
              </w:rPr>
              <w:t>Branch operational capacity in affected parishes is itself partly impaired</w:t>
            </w:r>
          </w:p>
        </w:tc>
      </w:tr>
    </w:tbl>
    <w:p w14:paraId="68B892A7" w14:textId="77777777" w:rsidR="0025534A" w:rsidRDefault="0025534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34A" w14:paraId="15E5E806" w14:textId="77777777">
        <w:tblPrEx>
          <w:tblCellMar>
            <w:top w:w="0" w:type="dxa"/>
            <w:bottom w:w="0" w:type="dxa"/>
          </w:tblCellMar>
        </w:tblPrEx>
        <w:tc>
          <w:tcPr>
            <w:tcW w:w="9360" w:type="dxa"/>
            <w:tcBorders>
              <w:top w:val="single" w:sz="6" w:space="0" w:color="C8102E"/>
              <w:left w:val="single" w:sz="6" w:space="0" w:color="C8102E"/>
              <w:bottom w:val="single" w:sz="4" w:space="0" w:color="BFBFBF"/>
              <w:right w:val="single" w:sz="6" w:space="0" w:color="C8102E"/>
            </w:tcBorders>
            <w:shd w:val="clear" w:color="auto" w:fill="C8102E"/>
            <w:tcMar>
              <w:top w:w="100" w:type="dxa"/>
              <w:left w:w="200" w:type="dxa"/>
              <w:bottom w:w="100" w:type="dxa"/>
              <w:right w:w="200" w:type="dxa"/>
            </w:tcMar>
          </w:tcPr>
          <w:p w14:paraId="0BDF052F" w14:textId="77777777" w:rsidR="0025534A" w:rsidRDefault="001F7044">
            <w:pPr>
              <w:spacing w:before="40" w:after="20"/>
            </w:pPr>
            <w:r>
              <w:rPr>
                <w:b/>
                <w:bCs/>
                <w:color w:val="FFFFFF"/>
              </w:rPr>
              <w:t xml:space="preserve">Option </w:t>
            </w:r>
            <w:proofErr w:type="gramStart"/>
            <w:r>
              <w:rPr>
                <w:b/>
                <w:bCs/>
                <w:color w:val="FFFFFF"/>
              </w:rPr>
              <w:t>4  |</w:t>
            </w:r>
            <w:proofErr w:type="gramEnd"/>
            <w:r>
              <w:rPr>
                <w:b/>
                <w:bCs/>
                <w:color w:val="FFFFFF"/>
              </w:rPr>
              <w:t xml:space="preserve">  </w:t>
            </w:r>
            <w:r>
              <w:rPr>
                <w:i/>
                <w:iCs/>
                <w:color w:val="FFFFFF"/>
              </w:rPr>
              <w:t>Cross-SBU (Banking, Insurance, Money Services)</w:t>
            </w:r>
          </w:p>
          <w:p w14:paraId="05D6A0DD" w14:textId="77777777" w:rsidR="0025534A" w:rsidRDefault="001F7044">
            <w:pPr>
              <w:spacing w:before="20" w:after="40"/>
            </w:pPr>
            <w:r>
              <w:rPr>
                <w:b/>
                <w:bCs/>
                <w:color w:val="FFFFFF"/>
                <w:sz w:val="28"/>
                <w:szCs w:val="28"/>
              </w:rPr>
              <w:t>Invest in Unified Customer Data</w:t>
            </w:r>
          </w:p>
        </w:tc>
      </w:tr>
      <w:tr w:rsidR="0025534A" w14:paraId="14BD9C23" w14:textId="77777777">
        <w:tblPrEx>
          <w:tblCellMar>
            <w:top w:w="0" w:type="dxa"/>
            <w:bottom w:w="0" w:type="dxa"/>
          </w:tblCellMar>
        </w:tblPrEx>
        <w:tc>
          <w:tcPr>
            <w:tcW w:w="9360" w:type="dxa"/>
            <w:tcBorders>
              <w:top w:val="single" w:sz="4" w:space="0" w:color="BFBFBF"/>
              <w:left w:val="single" w:sz="6" w:space="0" w:color="C8102E"/>
              <w:bottom w:val="single" w:sz="6" w:space="0" w:color="C8102E"/>
              <w:right w:val="single" w:sz="6" w:space="0" w:color="C8102E"/>
            </w:tcBorders>
            <w:tcMar>
              <w:top w:w="120" w:type="dxa"/>
              <w:left w:w="200" w:type="dxa"/>
              <w:bottom w:w="120" w:type="dxa"/>
              <w:right w:w="200" w:type="dxa"/>
            </w:tcMar>
          </w:tcPr>
          <w:p w14:paraId="3002E853" w14:textId="77777777" w:rsidR="0025534A" w:rsidRDefault="001F7044">
            <w:pPr>
              <w:spacing w:before="60" w:after="60"/>
            </w:pPr>
            <w:r>
              <w:rPr>
                <w:b/>
                <w:bCs/>
                <w:color w:val="1F4D78"/>
              </w:rPr>
              <w:t>Data Context</w:t>
            </w:r>
          </w:p>
          <w:p w14:paraId="7A979031" w14:textId="77777777" w:rsidR="0025534A" w:rsidRDefault="001F7044">
            <w:pPr>
              <w:pStyle w:val="ListParagraph"/>
              <w:numPr>
                <w:ilvl w:val="0"/>
                <w:numId w:val="2"/>
              </w:numPr>
              <w:spacing w:before="40" w:after="40"/>
            </w:pPr>
            <w:r>
              <w:rPr>
                <w:sz w:val="20"/>
                <w:szCs w:val="20"/>
              </w:rPr>
              <w:t>Customer Affiliation Dashboard shows cells of millions alongside cells of 2 or 4 — the integration is incomplete</w:t>
            </w:r>
          </w:p>
          <w:p w14:paraId="2383920D" w14:textId="77777777" w:rsidR="0025534A" w:rsidRDefault="001F7044">
            <w:pPr>
              <w:pStyle w:val="ListParagraph"/>
              <w:numPr>
                <w:ilvl w:val="0"/>
                <w:numId w:val="2"/>
              </w:numPr>
              <w:spacing w:before="40" w:after="40"/>
            </w:pPr>
            <w:r>
              <w:rPr>
                <w:sz w:val="20"/>
                <w:szCs w:val="20"/>
              </w:rPr>
              <w:t>Cross-sell revenue lift when customers hold products at 2+ SBUs is meaningful (estimated 2–3x LTV)</w:t>
            </w:r>
          </w:p>
          <w:p w14:paraId="0986C615" w14:textId="77777777" w:rsidR="0025534A" w:rsidRDefault="001F7044">
            <w:pPr>
              <w:pStyle w:val="ListParagraph"/>
              <w:numPr>
                <w:ilvl w:val="0"/>
                <w:numId w:val="2"/>
              </w:numPr>
              <w:spacing w:before="40" w:after="40"/>
            </w:pPr>
            <w:r>
              <w:rPr>
                <w:sz w:val="20"/>
                <w:szCs w:val="20"/>
              </w:rPr>
              <w:t>Many “single-SBU” customers are eligible for products at other SBUs but never offered</w:t>
            </w:r>
          </w:p>
          <w:p w14:paraId="1269C070" w14:textId="77777777" w:rsidR="0025534A" w:rsidRDefault="001F7044">
            <w:pPr>
              <w:pStyle w:val="ListParagraph"/>
              <w:numPr>
                <w:ilvl w:val="0"/>
                <w:numId w:val="2"/>
              </w:numPr>
              <w:spacing w:before="40" w:after="40"/>
            </w:pPr>
            <w:r>
              <w:rPr>
                <w:sz w:val="20"/>
                <w:szCs w:val="20"/>
              </w:rPr>
              <w:t>Customer data unification is a 12–</w:t>
            </w:r>
            <w:proofErr w:type="gramStart"/>
            <w:r>
              <w:rPr>
                <w:sz w:val="20"/>
                <w:szCs w:val="20"/>
              </w:rPr>
              <w:t>18 month</w:t>
            </w:r>
            <w:proofErr w:type="gramEnd"/>
            <w:r>
              <w:rPr>
                <w:sz w:val="20"/>
                <w:szCs w:val="20"/>
              </w:rPr>
              <w:t xml:space="preserve"> initiative even with strong sponsorship</w:t>
            </w:r>
          </w:p>
          <w:p w14:paraId="7E0853FD" w14:textId="77777777" w:rsidR="0025534A" w:rsidRDefault="0025534A"/>
          <w:p w14:paraId="208AFFCE" w14:textId="77777777" w:rsidR="0025534A" w:rsidRDefault="001F7044">
            <w:pPr>
              <w:spacing w:before="60" w:after="60"/>
            </w:pPr>
            <w:r>
              <w:rPr>
                <w:b/>
                <w:bCs/>
                <w:color w:val="1F4D78"/>
              </w:rPr>
              <w:t>Key Considerations</w:t>
            </w:r>
          </w:p>
          <w:p w14:paraId="0F845516" w14:textId="77777777" w:rsidR="0025534A" w:rsidRDefault="001F7044">
            <w:pPr>
              <w:pStyle w:val="ListParagraph"/>
              <w:numPr>
                <w:ilvl w:val="0"/>
                <w:numId w:val="2"/>
              </w:numPr>
              <w:spacing w:before="40" w:after="40"/>
            </w:pPr>
            <w:r>
              <w:rPr>
                <w:sz w:val="20"/>
                <w:szCs w:val="20"/>
              </w:rPr>
              <w:t>Long payback, but the asset compounds</w:t>
            </w:r>
          </w:p>
          <w:p w14:paraId="62C0D8E6" w14:textId="77777777" w:rsidR="0025534A" w:rsidRDefault="001F7044">
            <w:pPr>
              <w:pStyle w:val="ListParagraph"/>
              <w:numPr>
                <w:ilvl w:val="0"/>
                <w:numId w:val="2"/>
              </w:numPr>
              <w:spacing w:before="40" w:after="40"/>
            </w:pPr>
            <w:r>
              <w:rPr>
                <w:sz w:val="20"/>
                <w:szCs w:val="20"/>
              </w:rPr>
              <w:t>Without it, every other initiative’s ROI is harder to measure</w:t>
            </w:r>
          </w:p>
          <w:p w14:paraId="1B4DDA54" w14:textId="77777777" w:rsidR="0025534A" w:rsidRDefault="001F7044">
            <w:pPr>
              <w:pStyle w:val="ListParagraph"/>
              <w:numPr>
                <w:ilvl w:val="0"/>
                <w:numId w:val="2"/>
              </w:numPr>
              <w:spacing w:before="40" w:after="40"/>
            </w:pPr>
            <w:r>
              <w:rPr>
                <w:sz w:val="20"/>
                <w:szCs w:val="20"/>
              </w:rPr>
              <w:t>Internal political complexity — each SBU “owns” its customers today</w:t>
            </w:r>
          </w:p>
        </w:tc>
      </w:tr>
    </w:tbl>
    <w:p w14:paraId="491BB977" w14:textId="77777777" w:rsidR="0025534A" w:rsidRDefault="001F704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34A" w14:paraId="3632A45D" w14:textId="77777777">
        <w:tblPrEx>
          <w:tblCellMar>
            <w:top w:w="0" w:type="dxa"/>
            <w:bottom w:w="0" w:type="dxa"/>
          </w:tblCellMar>
        </w:tblPrEx>
        <w:tc>
          <w:tcPr>
            <w:tcW w:w="9360" w:type="dxa"/>
            <w:tcBorders>
              <w:top w:val="single" w:sz="6" w:space="0" w:color="C8102E"/>
              <w:left w:val="single" w:sz="6" w:space="0" w:color="C8102E"/>
              <w:bottom w:val="single" w:sz="4" w:space="0" w:color="BFBFBF"/>
              <w:right w:val="single" w:sz="6" w:space="0" w:color="C8102E"/>
            </w:tcBorders>
            <w:shd w:val="clear" w:color="auto" w:fill="C8102E"/>
            <w:tcMar>
              <w:top w:w="100" w:type="dxa"/>
              <w:left w:w="200" w:type="dxa"/>
              <w:bottom w:w="100" w:type="dxa"/>
              <w:right w:w="200" w:type="dxa"/>
            </w:tcMar>
          </w:tcPr>
          <w:p w14:paraId="47A6E066" w14:textId="77777777" w:rsidR="0025534A" w:rsidRDefault="001F7044">
            <w:pPr>
              <w:spacing w:before="40" w:after="20"/>
            </w:pPr>
            <w:r>
              <w:rPr>
                <w:b/>
                <w:bCs/>
                <w:color w:val="FFFFFF"/>
              </w:rPr>
              <w:lastRenderedPageBreak/>
              <w:t xml:space="preserve">Option </w:t>
            </w:r>
            <w:proofErr w:type="gramStart"/>
            <w:r>
              <w:rPr>
                <w:b/>
                <w:bCs/>
                <w:color w:val="FFFFFF"/>
              </w:rPr>
              <w:t>5  |</w:t>
            </w:r>
            <w:proofErr w:type="gramEnd"/>
            <w:r>
              <w:rPr>
                <w:b/>
                <w:bCs/>
                <w:color w:val="FFFFFF"/>
              </w:rPr>
              <w:t xml:space="preserve">  </w:t>
            </w:r>
            <w:r>
              <w:rPr>
                <w:i/>
                <w:iCs/>
                <w:color w:val="FFFFFF"/>
              </w:rPr>
              <w:t>Risk, Compliance, and AML</w:t>
            </w:r>
          </w:p>
          <w:p w14:paraId="67FB7E8C" w14:textId="77777777" w:rsidR="0025534A" w:rsidRDefault="001F7044">
            <w:pPr>
              <w:spacing w:before="20" w:after="40"/>
            </w:pPr>
            <w:r>
              <w:rPr>
                <w:b/>
                <w:bCs/>
                <w:color w:val="FFFFFF"/>
                <w:sz w:val="28"/>
                <w:szCs w:val="28"/>
              </w:rPr>
              <w:t>Build Next-Generation Risk and AML Analytics</w:t>
            </w:r>
          </w:p>
        </w:tc>
      </w:tr>
      <w:tr w:rsidR="0025534A" w14:paraId="1ABA6206" w14:textId="77777777">
        <w:tblPrEx>
          <w:tblCellMar>
            <w:top w:w="0" w:type="dxa"/>
            <w:bottom w:w="0" w:type="dxa"/>
          </w:tblCellMar>
        </w:tblPrEx>
        <w:tc>
          <w:tcPr>
            <w:tcW w:w="9360" w:type="dxa"/>
            <w:tcBorders>
              <w:top w:val="single" w:sz="4" w:space="0" w:color="BFBFBF"/>
              <w:left w:val="single" w:sz="6" w:space="0" w:color="C8102E"/>
              <w:bottom w:val="single" w:sz="6" w:space="0" w:color="C8102E"/>
              <w:right w:val="single" w:sz="6" w:space="0" w:color="C8102E"/>
            </w:tcBorders>
            <w:tcMar>
              <w:top w:w="120" w:type="dxa"/>
              <w:left w:w="200" w:type="dxa"/>
              <w:bottom w:w="120" w:type="dxa"/>
              <w:right w:w="200" w:type="dxa"/>
            </w:tcMar>
          </w:tcPr>
          <w:p w14:paraId="4FD86604" w14:textId="77777777" w:rsidR="0025534A" w:rsidRDefault="001F7044">
            <w:pPr>
              <w:spacing w:before="60" w:after="60"/>
            </w:pPr>
            <w:r>
              <w:rPr>
                <w:b/>
                <w:bCs/>
                <w:color w:val="1F4D78"/>
              </w:rPr>
              <w:t>Data Context</w:t>
            </w:r>
          </w:p>
          <w:p w14:paraId="3BCE8650" w14:textId="77777777" w:rsidR="0025534A" w:rsidRDefault="001F7044">
            <w:pPr>
              <w:pStyle w:val="ListParagraph"/>
              <w:numPr>
                <w:ilvl w:val="0"/>
                <w:numId w:val="2"/>
              </w:numPr>
              <w:spacing w:before="40" w:after="40"/>
            </w:pPr>
            <w:r>
              <w:rPr>
                <w:sz w:val="20"/>
                <w:szCs w:val="20"/>
              </w:rPr>
              <w:t>Current AML alert backlog is heavy; false-positive rate is reported in the high tens of percent</w:t>
            </w:r>
          </w:p>
          <w:p w14:paraId="7D038340" w14:textId="77777777" w:rsidR="0025534A" w:rsidRDefault="001F7044">
            <w:pPr>
              <w:pStyle w:val="ListParagraph"/>
              <w:numPr>
                <w:ilvl w:val="0"/>
                <w:numId w:val="2"/>
              </w:numPr>
              <w:spacing w:before="40" w:after="40"/>
            </w:pPr>
            <w:r>
              <w:rPr>
                <w:sz w:val="20"/>
                <w:szCs w:val="20"/>
              </w:rPr>
              <w:t>Caribbean regulators are increasingly active; enforcement risk is asymmetric</w:t>
            </w:r>
          </w:p>
          <w:p w14:paraId="0ACF2670" w14:textId="77777777" w:rsidR="0025534A" w:rsidRDefault="001F7044">
            <w:pPr>
              <w:pStyle w:val="ListParagraph"/>
              <w:numPr>
                <w:ilvl w:val="0"/>
                <w:numId w:val="2"/>
              </w:numPr>
              <w:spacing w:before="40" w:after="40"/>
            </w:pPr>
            <w:r>
              <w:rPr>
                <w:sz w:val="20"/>
                <w:szCs w:val="20"/>
              </w:rPr>
              <w:t>Fraud loss rate by channel is trending up in digital, particularly authorized push payment patterns</w:t>
            </w:r>
          </w:p>
          <w:p w14:paraId="480257A6" w14:textId="77777777" w:rsidR="0025534A" w:rsidRDefault="001F7044">
            <w:pPr>
              <w:pStyle w:val="ListParagraph"/>
              <w:numPr>
                <w:ilvl w:val="0"/>
                <w:numId w:val="2"/>
              </w:numPr>
              <w:spacing w:before="40" w:after="40"/>
            </w:pPr>
            <w:r>
              <w:rPr>
                <w:sz w:val="20"/>
                <w:szCs w:val="20"/>
              </w:rPr>
              <w:t>Concentration risk by parish/sector is poorly visualized today</w:t>
            </w:r>
          </w:p>
          <w:p w14:paraId="1CE967A7" w14:textId="77777777" w:rsidR="0025534A" w:rsidRDefault="0025534A"/>
          <w:p w14:paraId="413A3E2C" w14:textId="77777777" w:rsidR="0025534A" w:rsidRDefault="001F7044">
            <w:pPr>
              <w:spacing w:before="60" w:after="60"/>
            </w:pPr>
            <w:r>
              <w:rPr>
                <w:b/>
                <w:bCs/>
                <w:color w:val="1F4D78"/>
              </w:rPr>
              <w:t>Key Considerations</w:t>
            </w:r>
          </w:p>
          <w:p w14:paraId="726FE2EA" w14:textId="77777777" w:rsidR="0025534A" w:rsidRDefault="001F7044">
            <w:pPr>
              <w:pStyle w:val="ListParagraph"/>
              <w:numPr>
                <w:ilvl w:val="0"/>
                <w:numId w:val="2"/>
              </w:numPr>
              <w:spacing w:before="40" w:after="40"/>
            </w:pPr>
            <w:r>
              <w:rPr>
                <w:sz w:val="20"/>
                <w:szCs w:val="20"/>
              </w:rPr>
              <w:t>ROI is invisible until prevention pays off — hard to celebrate, easy to underfund</w:t>
            </w:r>
          </w:p>
          <w:p w14:paraId="49612F68" w14:textId="77777777" w:rsidR="0025534A" w:rsidRDefault="001F7044">
            <w:pPr>
              <w:pStyle w:val="ListParagraph"/>
              <w:numPr>
                <w:ilvl w:val="0"/>
                <w:numId w:val="2"/>
              </w:numPr>
              <w:spacing w:before="40" w:after="40"/>
            </w:pPr>
            <w:r>
              <w:rPr>
                <w:sz w:val="20"/>
                <w:szCs w:val="20"/>
              </w:rPr>
              <w:t>Single enforcement action could wipe out years of growth elsewhere</w:t>
            </w:r>
          </w:p>
          <w:p w14:paraId="3064811F" w14:textId="77777777" w:rsidR="0025534A" w:rsidRDefault="001F7044">
            <w:pPr>
              <w:pStyle w:val="ListParagraph"/>
              <w:numPr>
                <w:ilvl w:val="0"/>
                <w:numId w:val="2"/>
              </w:numPr>
              <w:spacing w:before="40" w:after="40"/>
            </w:pPr>
            <w:r>
              <w:rPr>
                <w:sz w:val="20"/>
                <w:szCs w:val="20"/>
              </w:rPr>
              <w:t>Underweighting is the historical norm at organizations like GKFG</w:t>
            </w:r>
          </w:p>
        </w:tc>
      </w:tr>
    </w:tbl>
    <w:p w14:paraId="7B4F38E6" w14:textId="77777777" w:rsidR="0025534A" w:rsidRDefault="0025534A">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34A" w14:paraId="796A6C12" w14:textId="77777777">
        <w:tblPrEx>
          <w:tblCellMar>
            <w:top w:w="0" w:type="dxa"/>
            <w:bottom w:w="0" w:type="dxa"/>
          </w:tblCellMar>
        </w:tblPrEx>
        <w:tc>
          <w:tcPr>
            <w:tcW w:w="9360" w:type="dxa"/>
            <w:tcBorders>
              <w:top w:val="single" w:sz="6" w:space="0" w:color="C8102E"/>
              <w:left w:val="single" w:sz="6" w:space="0" w:color="C8102E"/>
              <w:bottom w:val="single" w:sz="4" w:space="0" w:color="BFBFBF"/>
              <w:right w:val="single" w:sz="6" w:space="0" w:color="C8102E"/>
            </w:tcBorders>
            <w:shd w:val="clear" w:color="auto" w:fill="C8102E"/>
            <w:tcMar>
              <w:top w:w="100" w:type="dxa"/>
              <w:left w:w="200" w:type="dxa"/>
              <w:bottom w:w="100" w:type="dxa"/>
              <w:right w:w="200" w:type="dxa"/>
            </w:tcMar>
          </w:tcPr>
          <w:p w14:paraId="2946BCA7" w14:textId="77777777" w:rsidR="0025534A" w:rsidRDefault="001F7044">
            <w:pPr>
              <w:spacing w:before="40" w:after="20"/>
            </w:pPr>
            <w:r>
              <w:rPr>
                <w:b/>
                <w:bCs/>
                <w:color w:val="FFFFFF"/>
              </w:rPr>
              <w:t xml:space="preserve">Option </w:t>
            </w:r>
            <w:proofErr w:type="gramStart"/>
            <w:r>
              <w:rPr>
                <w:b/>
                <w:bCs/>
                <w:color w:val="FFFFFF"/>
              </w:rPr>
              <w:t>6  |</w:t>
            </w:r>
            <w:proofErr w:type="gramEnd"/>
            <w:r>
              <w:rPr>
                <w:b/>
                <w:bCs/>
                <w:color w:val="FFFFFF"/>
              </w:rPr>
              <w:t xml:space="preserve">  </w:t>
            </w:r>
            <w:r>
              <w:rPr>
                <w:i/>
                <w:iCs/>
                <w:color w:val="FFFFFF"/>
              </w:rPr>
              <w:t>FGB Branch Network &amp; Channel Strategy</w:t>
            </w:r>
          </w:p>
          <w:p w14:paraId="19C01821" w14:textId="77777777" w:rsidR="0025534A" w:rsidRDefault="001F7044">
            <w:pPr>
              <w:spacing w:before="20" w:after="40"/>
            </w:pPr>
            <w:r>
              <w:rPr>
                <w:b/>
                <w:bCs/>
                <w:color w:val="FFFFFF"/>
                <w:sz w:val="28"/>
                <w:szCs w:val="28"/>
              </w:rPr>
              <w:t>Modernize Branch Operations — Shift to Digital Mix</w:t>
            </w:r>
          </w:p>
        </w:tc>
      </w:tr>
      <w:tr w:rsidR="0025534A" w14:paraId="0C4AF778" w14:textId="77777777">
        <w:tblPrEx>
          <w:tblCellMar>
            <w:top w:w="0" w:type="dxa"/>
            <w:bottom w:w="0" w:type="dxa"/>
          </w:tblCellMar>
        </w:tblPrEx>
        <w:tc>
          <w:tcPr>
            <w:tcW w:w="9360" w:type="dxa"/>
            <w:tcBorders>
              <w:top w:val="single" w:sz="4" w:space="0" w:color="BFBFBF"/>
              <w:left w:val="single" w:sz="6" w:space="0" w:color="C8102E"/>
              <w:bottom w:val="single" w:sz="6" w:space="0" w:color="C8102E"/>
              <w:right w:val="single" w:sz="6" w:space="0" w:color="C8102E"/>
            </w:tcBorders>
            <w:tcMar>
              <w:top w:w="120" w:type="dxa"/>
              <w:left w:w="200" w:type="dxa"/>
              <w:bottom w:w="120" w:type="dxa"/>
              <w:right w:w="200" w:type="dxa"/>
            </w:tcMar>
          </w:tcPr>
          <w:p w14:paraId="02C0F6B0" w14:textId="77777777" w:rsidR="0025534A" w:rsidRDefault="001F7044">
            <w:pPr>
              <w:spacing w:before="60" w:after="60"/>
            </w:pPr>
            <w:r>
              <w:rPr>
                <w:b/>
                <w:bCs/>
                <w:color w:val="1F4D78"/>
              </w:rPr>
              <w:t>Data Context</w:t>
            </w:r>
          </w:p>
          <w:p w14:paraId="3FC47310" w14:textId="77777777" w:rsidR="0025534A" w:rsidRDefault="001F7044">
            <w:pPr>
              <w:pStyle w:val="ListParagraph"/>
              <w:numPr>
                <w:ilvl w:val="0"/>
                <w:numId w:val="2"/>
              </w:numPr>
              <w:spacing w:before="40" w:after="40"/>
            </w:pPr>
            <w:r>
              <w:rPr>
                <w:sz w:val="20"/>
                <w:szCs w:val="20"/>
              </w:rPr>
              <w:t>Cost per transaction at branch is multiples of digital equivalent</w:t>
            </w:r>
          </w:p>
          <w:p w14:paraId="6E7EFE56" w14:textId="77777777" w:rsidR="0025534A" w:rsidRDefault="001F7044">
            <w:pPr>
              <w:pStyle w:val="ListParagraph"/>
              <w:numPr>
                <w:ilvl w:val="0"/>
                <w:numId w:val="2"/>
              </w:numPr>
              <w:spacing w:before="40" w:after="40"/>
            </w:pPr>
            <w:r>
              <w:rPr>
                <w:sz w:val="20"/>
                <w:szCs w:val="20"/>
              </w:rPr>
              <w:t>Branches still process the bulk of transactions that could be done digitally</w:t>
            </w:r>
          </w:p>
          <w:p w14:paraId="18F00BB3" w14:textId="77777777" w:rsidR="0025534A" w:rsidRDefault="001F7044">
            <w:pPr>
              <w:pStyle w:val="ListParagraph"/>
              <w:numPr>
                <w:ilvl w:val="0"/>
                <w:numId w:val="2"/>
              </w:numPr>
              <w:spacing w:before="40" w:after="40"/>
            </w:pPr>
            <w:r>
              <w:rPr>
                <w:sz w:val="20"/>
                <w:szCs w:val="20"/>
              </w:rPr>
              <w:t>Some branches in post-Melissa parishes have impaired operational status</w:t>
            </w:r>
          </w:p>
          <w:p w14:paraId="4BFD9F94" w14:textId="77777777" w:rsidR="0025534A" w:rsidRDefault="001F7044">
            <w:pPr>
              <w:pStyle w:val="ListParagraph"/>
              <w:numPr>
                <w:ilvl w:val="0"/>
                <w:numId w:val="2"/>
              </w:numPr>
              <w:spacing w:before="40" w:after="40"/>
            </w:pPr>
            <w:r>
              <w:rPr>
                <w:sz w:val="20"/>
                <w:szCs w:val="20"/>
              </w:rPr>
              <w:t>Customer-facing roles in branches show the highest voluntary attrition</w:t>
            </w:r>
          </w:p>
          <w:p w14:paraId="5BDFCA87" w14:textId="77777777" w:rsidR="0025534A" w:rsidRDefault="0025534A"/>
          <w:p w14:paraId="33698E1C" w14:textId="77777777" w:rsidR="0025534A" w:rsidRDefault="001F7044">
            <w:pPr>
              <w:spacing w:before="60" w:after="60"/>
            </w:pPr>
            <w:r>
              <w:rPr>
                <w:b/>
                <w:bCs/>
                <w:color w:val="1F4D78"/>
              </w:rPr>
              <w:t>Key Considerations</w:t>
            </w:r>
          </w:p>
          <w:p w14:paraId="737DA5AE" w14:textId="77777777" w:rsidR="0025534A" w:rsidRDefault="001F7044">
            <w:pPr>
              <w:pStyle w:val="ListParagraph"/>
              <w:numPr>
                <w:ilvl w:val="0"/>
                <w:numId w:val="2"/>
              </w:numPr>
              <w:spacing w:before="40" w:after="40"/>
            </w:pPr>
            <w:r>
              <w:rPr>
                <w:sz w:val="20"/>
                <w:szCs w:val="20"/>
              </w:rPr>
              <w:t>Branch network is a community presence as well as a transaction venue</w:t>
            </w:r>
          </w:p>
          <w:p w14:paraId="3649F86D" w14:textId="77777777" w:rsidR="0025534A" w:rsidRDefault="001F7044">
            <w:pPr>
              <w:pStyle w:val="ListParagraph"/>
              <w:numPr>
                <w:ilvl w:val="0"/>
                <w:numId w:val="2"/>
              </w:numPr>
              <w:spacing w:before="40" w:after="40"/>
            </w:pPr>
            <w:r>
              <w:rPr>
                <w:sz w:val="20"/>
                <w:szCs w:val="20"/>
              </w:rPr>
              <w:t>Migration too fast erodes customer trust in segments with low digital comfort</w:t>
            </w:r>
          </w:p>
          <w:p w14:paraId="4ECC3CF2" w14:textId="77777777" w:rsidR="0025534A" w:rsidRDefault="001F7044">
            <w:pPr>
              <w:pStyle w:val="ListParagraph"/>
              <w:numPr>
                <w:ilvl w:val="0"/>
                <w:numId w:val="2"/>
              </w:numPr>
              <w:spacing w:before="40" w:after="40"/>
            </w:pPr>
            <w:r>
              <w:rPr>
                <w:sz w:val="20"/>
                <w:szCs w:val="20"/>
              </w:rPr>
              <w:t>Operational savings unlock capacity for other investments — if executed well</w:t>
            </w:r>
          </w:p>
        </w:tc>
      </w:tr>
    </w:tbl>
    <w:p w14:paraId="33046B1F" w14:textId="77777777" w:rsidR="0025534A" w:rsidRDefault="001F704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534A" w14:paraId="3B23C0CB" w14:textId="77777777">
        <w:tblPrEx>
          <w:tblCellMar>
            <w:top w:w="0" w:type="dxa"/>
            <w:bottom w:w="0" w:type="dxa"/>
          </w:tblCellMar>
        </w:tblPrEx>
        <w:tc>
          <w:tcPr>
            <w:tcW w:w="9360" w:type="dxa"/>
            <w:tcBorders>
              <w:top w:val="single" w:sz="6" w:space="0" w:color="C8102E"/>
              <w:left w:val="single" w:sz="6" w:space="0" w:color="C8102E"/>
              <w:bottom w:val="single" w:sz="4" w:space="0" w:color="BFBFBF"/>
              <w:right w:val="single" w:sz="6" w:space="0" w:color="C8102E"/>
            </w:tcBorders>
            <w:shd w:val="clear" w:color="auto" w:fill="C8102E"/>
            <w:tcMar>
              <w:top w:w="100" w:type="dxa"/>
              <w:left w:w="200" w:type="dxa"/>
              <w:bottom w:w="100" w:type="dxa"/>
              <w:right w:w="200" w:type="dxa"/>
            </w:tcMar>
          </w:tcPr>
          <w:p w14:paraId="4B8E4466" w14:textId="77777777" w:rsidR="0025534A" w:rsidRDefault="001F7044">
            <w:pPr>
              <w:spacing w:before="40" w:after="20"/>
            </w:pPr>
            <w:r>
              <w:rPr>
                <w:b/>
                <w:bCs/>
                <w:color w:val="FFFFFF"/>
              </w:rPr>
              <w:lastRenderedPageBreak/>
              <w:t xml:space="preserve">Option </w:t>
            </w:r>
            <w:proofErr w:type="gramStart"/>
            <w:r>
              <w:rPr>
                <w:b/>
                <w:bCs/>
                <w:color w:val="FFFFFF"/>
              </w:rPr>
              <w:t>7  |</w:t>
            </w:r>
            <w:proofErr w:type="gramEnd"/>
            <w:r>
              <w:rPr>
                <w:b/>
                <w:bCs/>
                <w:color w:val="FFFFFF"/>
              </w:rPr>
              <w:t xml:space="preserve">  </w:t>
            </w:r>
            <w:r>
              <w:rPr>
                <w:i/>
                <w:iCs/>
                <w:color w:val="FFFFFF"/>
              </w:rPr>
              <w:t>HR &amp; Enterprise Talent</w:t>
            </w:r>
          </w:p>
          <w:p w14:paraId="2BE2E97A" w14:textId="77777777" w:rsidR="0025534A" w:rsidRDefault="001F7044">
            <w:pPr>
              <w:spacing w:before="20" w:after="40"/>
            </w:pPr>
            <w:proofErr w:type="gramStart"/>
            <w:r>
              <w:rPr>
                <w:b/>
                <w:bCs/>
                <w:color w:val="FFFFFF"/>
                <w:sz w:val="28"/>
                <w:szCs w:val="28"/>
              </w:rPr>
              <w:t>Strengthen</w:t>
            </w:r>
            <w:proofErr w:type="gramEnd"/>
            <w:r>
              <w:rPr>
                <w:b/>
                <w:bCs/>
                <w:color w:val="FFFFFF"/>
                <w:sz w:val="28"/>
                <w:szCs w:val="28"/>
              </w:rPr>
              <w:t xml:space="preserve"> Workforce, Leadership Pipeline, Retention</w:t>
            </w:r>
          </w:p>
        </w:tc>
      </w:tr>
      <w:tr w:rsidR="0025534A" w14:paraId="0077874C" w14:textId="77777777">
        <w:tblPrEx>
          <w:tblCellMar>
            <w:top w:w="0" w:type="dxa"/>
            <w:bottom w:w="0" w:type="dxa"/>
          </w:tblCellMar>
        </w:tblPrEx>
        <w:tc>
          <w:tcPr>
            <w:tcW w:w="9360" w:type="dxa"/>
            <w:tcBorders>
              <w:top w:val="single" w:sz="4" w:space="0" w:color="BFBFBF"/>
              <w:left w:val="single" w:sz="6" w:space="0" w:color="C8102E"/>
              <w:bottom w:val="single" w:sz="6" w:space="0" w:color="C8102E"/>
              <w:right w:val="single" w:sz="6" w:space="0" w:color="C8102E"/>
            </w:tcBorders>
            <w:tcMar>
              <w:top w:w="120" w:type="dxa"/>
              <w:left w:w="200" w:type="dxa"/>
              <w:bottom w:w="120" w:type="dxa"/>
              <w:right w:w="200" w:type="dxa"/>
            </w:tcMar>
          </w:tcPr>
          <w:p w14:paraId="65A7EC8F" w14:textId="77777777" w:rsidR="0025534A" w:rsidRDefault="001F7044">
            <w:pPr>
              <w:spacing w:before="60" w:after="60"/>
            </w:pPr>
            <w:r>
              <w:rPr>
                <w:b/>
                <w:bCs/>
                <w:color w:val="1F4D78"/>
              </w:rPr>
              <w:t>Data Context</w:t>
            </w:r>
          </w:p>
          <w:p w14:paraId="762B085B" w14:textId="77777777" w:rsidR="0025534A" w:rsidRDefault="001F7044">
            <w:pPr>
              <w:pStyle w:val="ListParagraph"/>
              <w:numPr>
                <w:ilvl w:val="0"/>
                <w:numId w:val="2"/>
              </w:numPr>
              <w:spacing w:before="40" w:after="40"/>
            </w:pPr>
            <w:r>
              <w:rPr>
                <w:sz w:val="20"/>
                <w:szCs w:val="20"/>
              </w:rPr>
              <w:t>Voluntary attrition is rising fastest in customer-facing functions</w:t>
            </w:r>
          </w:p>
          <w:p w14:paraId="6BEC862A" w14:textId="77777777" w:rsidR="0025534A" w:rsidRDefault="001F7044">
            <w:pPr>
              <w:pStyle w:val="ListParagraph"/>
              <w:numPr>
                <w:ilvl w:val="0"/>
                <w:numId w:val="2"/>
              </w:numPr>
              <w:spacing w:before="40" w:after="40"/>
            </w:pPr>
            <w:r>
              <w:rPr>
                <w:sz w:val="20"/>
                <w:szCs w:val="20"/>
              </w:rPr>
              <w:t>Productivity differential between top and median performers in revenue roles is significant</w:t>
            </w:r>
          </w:p>
          <w:p w14:paraId="6BE3E3E1" w14:textId="77777777" w:rsidR="0025534A" w:rsidRDefault="001F7044">
            <w:pPr>
              <w:pStyle w:val="ListParagraph"/>
              <w:numPr>
                <w:ilvl w:val="0"/>
                <w:numId w:val="2"/>
              </w:numPr>
              <w:spacing w:before="40" w:after="40"/>
            </w:pPr>
            <w:r>
              <w:rPr>
                <w:sz w:val="20"/>
                <w:szCs w:val="20"/>
              </w:rPr>
              <w:t>Recent CEO transition has tested the leadership bench; gaps exist across functions</w:t>
            </w:r>
          </w:p>
          <w:p w14:paraId="20AA1ADD" w14:textId="77777777" w:rsidR="0025534A" w:rsidRDefault="001F7044">
            <w:pPr>
              <w:pStyle w:val="ListParagraph"/>
              <w:numPr>
                <w:ilvl w:val="0"/>
                <w:numId w:val="2"/>
              </w:numPr>
              <w:spacing w:before="40" w:after="40"/>
            </w:pPr>
            <w:r>
              <w:rPr>
                <w:sz w:val="20"/>
                <w:szCs w:val="20"/>
              </w:rPr>
              <w:t>Time-to-fill in specialized roles (risk, analytics, digital product) is extending</w:t>
            </w:r>
          </w:p>
          <w:p w14:paraId="38D547F5" w14:textId="77777777" w:rsidR="0025534A" w:rsidRDefault="0025534A"/>
          <w:p w14:paraId="69365A44" w14:textId="77777777" w:rsidR="0025534A" w:rsidRDefault="001F7044">
            <w:pPr>
              <w:spacing w:before="60" w:after="60"/>
            </w:pPr>
            <w:r>
              <w:rPr>
                <w:b/>
                <w:bCs/>
                <w:color w:val="1F4D78"/>
              </w:rPr>
              <w:t>Key Considerations</w:t>
            </w:r>
          </w:p>
          <w:p w14:paraId="6531E1DB" w14:textId="77777777" w:rsidR="0025534A" w:rsidRDefault="001F7044">
            <w:pPr>
              <w:pStyle w:val="ListParagraph"/>
              <w:numPr>
                <w:ilvl w:val="0"/>
                <w:numId w:val="2"/>
              </w:numPr>
              <w:spacing w:before="40" w:after="40"/>
            </w:pPr>
            <w:r>
              <w:rPr>
                <w:sz w:val="20"/>
                <w:szCs w:val="20"/>
              </w:rPr>
              <w:t>Underfunding here is invisible for 12 months and catastrophic after 18</w:t>
            </w:r>
          </w:p>
          <w:p w14:paraId="45B271C3" w14:textId="77777777" w:rsidR="0025534A" w:rsidRDefault="001F7044">
            <w:pPr>
              <w:pStyle w:val="ListParagraph"/>
              <w:numPr>
                <w:ilvl w:val="0"/>
                <w:numId w:val="2"/>
              </w:numPr>
              <w:spacing w:before="40" w:after="40"/>
            </w:pPr>
            <w:r>
              <w:rPr>
                <w:sz w:val="20"/>
                <w:szCs w:val="20"/>
              </w:rPr>
              <w:t>Every other initiative depends on the people who execute it</w:t>
            </w:r>
          </w:p>
          <w:p w14:paraId="69C3328F" w14:textId="77777777" w:rsidR="0025534A" w:rsidRDefault="001F7044">
            <w:pPr>
              <w:pStyle w:val="ListParagraph"/>
              <w:numPr>
                <w:ilvl w:val="0"/>
                <w:numId w:val="2"/>
              </w:numPr>
              <w:spacing w:before="40" w:after="40"/>
            </w:pPr>
            <w:r>
              <w:rPr>
                <w:sz w:val="20"/>
                <w:szCs w:val="20"/>
              </w:rPr>
              <w:t>ROI is real but disperse — hard to attribute to any single allocation</w:t>
            </w:r>
          </w:p>
        </w:tc>
      </w:tr>
    </w:tbl>
    <w:p w14:paraId="048E1EF1" w14:textId="77777777" w:rsidR="0025534A" w:rsidRDefault="001F7044">
      <w:r>
        <w:br w:type="page"/>
      </w:r>
    </w:p>
    <w:p w14:paraId="5B45BD18" w14:textId="77777777" w:rsidR="0025534A" w:rsidRDefault="001F7044">
      <w:pPr>
        <w:pStyle w:val="Heading1"/>
        <w:spacing w:before="360" w:after="200"/>
      </w:pPr>
      <w:r>
        <w:rPr>
          <w:b/>
          <w:bCs/>
          <w:color w:val="C8102E"/>
        </w:rPr>
        <w:lastRenderedPageBreak/>
        <w:t>Round 1 Allocation Worksheet</w:t>
      </w:r>
    </w:p>
    <w:p w14:paraId="1D743A3D" w14:textId="77777777" w:rsidR="0025534A" w:rsidRDefault="001F7044">
      <w:pPr>
        <w:spacing w:before="80" w:after="80"/>
      </w:pPr>
      <w:r>
        <w:t>Distribute 100 units across the options below. Document the reasoning for each in one sentence. Document what assumptions your allocation depends on.</w:t>
      </w:r>
    </w:p>
    <w:p w14:paraId="0EEAFBB2" w14:textId="77777777" w:rsidR="0025534A" w:rsidRDefault="001F7044">
      <w:pPr>
        <w:pStyle w:val="Heading3"/>
        <w:spacing w:before="220" w:after="100"/>
      </w:pPr>
      <w:r>
        <w:rPr>
          <w:b/>
          <w:bCs/>
        </w:rPr>
        <w:t>Allocation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000"/>
        <w:gridCol w:w="4360"/>
      </w:tblGrid>
      <w:tr w:rsidR="0025534A" w14:paraId="5D6861B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C8102E"/>
            <w:tcMar>
              <w:top w:w="140" w:type="dxa"/>
              <w:left w:w="120" w:type="dxa"/>
              <w:bottom w:w="140" w:type="dxa"/>
              <w:right w:w="120" w:type="dxa"/>
            </w:tcMar>
          </w:tcPr>
          <w:p w14:paraId="67C6A4B8" w14:textId="77777777" w:rsidR="0025534A" w:rsidRDefault="001F7044">
            <w:r>
              <w:rPr>
                <w:b/>
                <w:bCs/>
                <w:color w:val="FFFFFF"/>
                <w:sz w:val="20"/>
                <w:szCs w:val="20"/>
              </w:rPr>
              <w:t>Strategic Option</w:t>
            </w:r>
          </w:p>
        </w:tc>
        <w:tc>
          <w:tcPr>
            <w:tcW w:w="1000" w:type="dxa"/>
            <w:tcBorders>
              <w:top w:val="single" w:sz="4" w:space="0" w:color="BFBFBF"/>
              <w:left w:val="single" w:sz="4" w:space="0" w:color="BFBFBF"/>
              <w:bottom w:val="single" w:sz="4" w:space="0" w:color="BFBFBF"/>
              <w:right w:val="single" w:sz="4" w:space="0" w:color="BFBFBF"/>
            </w:tcBorders>
            <w:shd w:val="clear" w:color="auto" w:fill="C8102E"/>
            <w:tcMar>
              <w:top w:w="140" w:type="dxa"/>
              <w:left w:w="120" w:type="dxa"/>
              <w:bottom w:w="140" w:type="dxa"/>
              <w:right w:w="120" w:type="dxa"/>
            </w:tcMar>
          </w:tcPr>
          <w:p w14:paraId="4AAA0481" w14:textId="77777777" w:rsidR="0025534A" w:rsidRDefault="001F7044">
            <w:pPr>
              <w:jc w:val="center"/>
            </w:pPr>
            <w:r>
              <w:rPr>
                <w:b/>
                <w:bCs/>
                <w:color w:val="FFFFFF"/>
              </w:rPr>
              <w:t>Units</w:t>
            </w:r>
          </w:p>
        </w:tc>
        <w:tc>
          <w:tcPr>
            <w:tcW w:w="4360" w:type="dxa"/>
            <w:tcBorders>
              <w:top w:val="single" w:sz="4" w:space="0" w:color="BFBFBF"/>
              <w:left w:val="single" w:sz="4" w:space="0" w:color="BFBFBF"/>
              <w:bottom w:val="single" w:sz="4" w:space="0" w:color="BFBFBF"/>
              <w:right w:val="single" w:sz="4" w:space="0" w:color="BFBFBF"/>
            </w:tcBorders>
            <w:shd w:val="clear" w:color="auto" w:fill="C8102E"/>
            <w:tcMar>
              <w:top w:w="140" w:type="dxa"/>
              <w:left w:w="120" w:type="dxa"/>
              <w:bottom w:w="140" w:type="dxa"/>
              <w:right w:w="120" w:type="dxa"/>
            </w:tcMar>
          </w:tcPr>
          <w:p w14:paraId="777BA4A6" w14:textId="77777777" w:rsidR="0025534A" w:rsidRDefault="001F7044">
            <w:r>
              <w:rPr>
                <w:b/>
                <w:bCs/>
                <w:color w:val="FFFFFF"/>
                <w:sz w:val="20"/>
                <w:szCs w:val="20"/>
              </w:rPr>
              <w:t>One-Sentence Reasoning</w:t>
            </w:r>
          </w:p>
        </w:tc>
      </w:tr>
      <w:tr w:rsidR="0025534A" w14:paraId="6B089136"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0878F15D" w14:textId="77777777" w:rsidR="0025534A" w:rsidRDefault="001F7044">
            <w:r>
              <w:rPr>
                <w:color w:val="000000"/>
                <w:sz w:val="20"/>
                <w:szCs w:val="20"/>
              </w:rPr>
              <w:t>1. Accelerate GK One expansion (Cayman, Guyana, Trinidad)</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22D02E64" w14:textId="77777777" w:rsidR="0025534A" w:rsidRDefault="0025534A">
            <w:pPr>
              <w:jc w:val="center"/>
            </w:pP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27906F3F" w14:textId="77777777" w:rsidR="0025534A" w:rsidRDefault="0025534A"/>
        </w:tc>
      </w:tr>
      <w:tr w:rsidR="0025534A" w14:paraId="196CD4D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42B7AFD7" w14:textId="77777777" w:rsidR="0025534A" w:rsidRDefault="001F7044">
            <w:r>
              <w:rPr>
                <w:color w:val="000000"/>
                <w:sz w:val="20"/>
                <w:szCs w:val="20"/>
              </w:rPr>
              <w:t>2. Deepen GKGI–</w:t>
            </w:r>
            <w:proofErr w:type="spellStart"/>
            <w:r>
              <w:rPr>
                <w:color w:val="000000"/>
                <w:sz w:val="20"/>
                <w:szCs w:val="20"/>
              </w:rPr>
              <w:t>ScotiaProtect</w:t>
            </w:r>
            <w:proofErr w:type="spellEnd"/>
            <w:r>
              <w:rPr>
                <w:color w:val="000000"/>
                <w:sz w:val="20"/>
                <w:szCs w:val="20"/>
              </w:rPr>
              <w:t xml:space="preserve"> partnership</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BE1A240" w14:textId="77777777" w:rsidR="0025534A" w:rsidRDefault="0025534A">
            <w:pPr>
              <w:jc w:val="center"/>
            </w:pP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3A1A2E3E" w14:textId="77777777" w:rsidR="0025534A" w:rsidRDefault="0025534A"/>
        </w:tc>
      </w:tr>
      <w:tr w:rsidR="0025534A" w14:paraId="75B29E30"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7F2D3D06" w14:textId="77777777" w:rsidR="0025534A" w:rsidRDefault="001F7044">
            <w:r>
              <w:rPr>
                <w:color w:val="000000"/>
                <w:sz w:val="20"/>
                <w:szCs w:val="20"/>
              </w:rPr>
              <w:t>3. Expand FGB lending in post-Melissa rebuild</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058B0CFD" w14:textId="77777777" w:rsidR="0025534A" w:rsidRDefault="0025534A">
            <w:pPr>
              <w:jc w:val="center"/>
            </w:pP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427DF87D" w14:textId="77777777" w:rsidR="0025534A" w:rsidRDefault="0025534A"/>
        </w:tc>
      </w:tr>
      <w:tr w:rsidR="0025534A" w14:paraId="1CE5D0AC"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606B7BEA" w14:textId="77777777" w:rsidR="0025534A" w:rsidRDefault="001F7044">
            <w:r>
              <w:rPr>
                <w:color w:val="000000"/>
                <w:sz w:val="20"/>
                <w:szCs w:val="20"/>
              </w:rPr>
              <w:t>4. Invest in unified customer data across SBUs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67DB02E" w14:textId="77777777" w:rsidR="0025534A" w:rsidRDefault="0025534A">
            <w:pPr>
              <w:jc w:val="center"/>
            </w:pP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6EDC84F6" w14:textId="77777777" w:rsidR="0025534A" w:rsidRDefault="0025534A"/>
        </w:tc>
      </w:tr>
      <w:tr w:rsidR="0025534A" w14:paraId="0E485CAC"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37832157" w14:textId="77777777" w:rsidR="0025534A" w:rsidRDefault="001F7044">
            <w:r>
              <w:rPr>
                <w:color w:val="000000"/>
                <w:sz w:val="20"/>
                <w:szCs w:val="20"/>
              </w:rPr>
              <w:t>5. Build next-generation risk and AML analytics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3CA2CBB1" w14:textId="77777777" w:rsidR="0025534A" w:rsidRDefault="0025534A">
            <w:pPr>
              <w:jc w:val="center"/>
            </w:pP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4C6D0AE9" w14:textId="77777777" w:rsidR="0025534A" w:rsidRDefault="0025534A"/>
        </w:tc>
      </w:tr>
      <w:tr w:rsidR="0025534A" w14:paraId="33DDA8AB"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0917E5AA" w14:textId="77777777" w:rsidR="0025534A" w:rsidRDefault="001F7044">
            <w:r>
              <w:rPr>
                <w:color w:val="000000"/>
                <w:sz w:val="20"/>
                <w:szCs w:val="20"/>
              </w:rPr>
              <w:t>6. Modernize branch operations — shift to digital mix</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74D2608E" w14:textId="77777777" w:rsidR="0025534A" w:rsidRDefault="0025534A">
            <w:pPr>
              <w:jc w:val="center"/>
            </w:pP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45CF1176" w14:textId="77777777" w:rsidR="0025534A" w:rsidRDefault="0025534A"/>
        </w:tc>
      </w:tr>
      <w:tr w:rsidR="0025534A" w14:paraId="343F1843"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599C88ED" w14:textId="77777777" w:rsidR="0025534A" w:rsidRDefault="001F7044">
            <w:r>
              <w:rPr>
                <w:color w:val="000000"/>
                <w:sz w:val="20"/>
                <w:szCs w:val="20"/>
              </w:rPr>
              <w:t>7. Strengthen workforce, leadership pipeline, retention</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653DE003" w14:textId="77777777" w:rsidR="0025534A" w:rsidRDefault="0025534A">
            <w:pPr>
              <w:jc w:val="center"/>
            </w:pP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1C7ACDB" w14:textId="77777777" w:rsidR="0025534A" w:rsidRDefault="0025534A"/>
        </w:tc>
      </w:tr>
      <w:tr w:rsidR="0025534A" w14:paraId="2596724F"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73929FD9" w14:textId="77777777" w:rsidR="0025534A" w:rsidRDefault="001F7044">
            <w:r>
              <w:rPr>
                <w:color w:val="000000"/>
                <w:sz w:val="20"/>
                <w:szCs w:val="20"/>
              </w:rPr>
              <w:t>8. (Optional) Your own option:</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5B0B3C0B" w14:textId="77777777" w:rsidR="0025534A" w:rsidRDefault="0025534A">
            <w:pPr>
              <w:jc w:val="center"/>
            </w:pP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590B67B5" w14:textId="77777777" w:rsidR="0025534A" w:rsidRDefault="0025534A"/>
        </w:tc>
      </w:tr>
      <w:tr w:rsidR="0025534A" w14:paraId="2E8F8B52" w14:textId="77777777">
        <w:tblPrEx>
          <w:tblCellMar>
            <w:top w:w="0" w:type="dxa"/>
            <w:bottom w:w="0" w:type="dxa"/>
          </w:tblCellMar>
        </w:tblPrEx>
        <w:tc>
          <w:tcPr>
            <w:tcW w:w="4000" w:type="dxa"/>
            <w:tcBorders>
              <w:top w:val="single" w:sz="4" w:space="0" w:color="BFBFBF"/>
              <w:left w:val="single" w:sz="4" w:space="0" w:color="BFBFBF"/>
              <w:bottom w:val="single" w:sz="4" w:space="0" w:color="BFBFBF"/>
              <w:right w:val="single" w:sz="4" w:space="0" w:color="BFBFBF"/>
            </w:tcBorders>
            <w:shd w:val="clear" w:color="auto" w:fill="FDEEEE"/>
            <w:tcMar>
              <w:top w:w="140" w:type="dxa"/>
              <w:left w:w="120" w:type="dxa"/>
              <w:bottom w:w="140" w:type="dxa"/>
              <w:right w:w="120" w:type="dxa"/>
            </w:tcMar>
          </w:tcPr>
          <w:p w14:paraId="17ABF53A" w14:textId="77777777" w:rsidR="0025534A" w:rsidRDefault="001F7044">
            <w:r>
              <w:rPr>
                <w:b/>
                <w:bCs/>
                <w:color w:val="000000"/>
                <w:sz w:val="20"/>
                <w:szCs w:val="20"/>
              </w:rPr>
              <w:t>TOTAL</w:t>
            </w:r>
          </w:p>
        </w:tc>
        <w:tc>
          <w:tcPr>
            <w:tcW w:w="1000" w:type="dxa"/>
            <w:tcBorders>
              <w:top w:val="single" w:sz="4" w:space="0" w:color="BFBFBF"/>
              <w:left w:val="single" w:sz="4" w:space="0" w:color="BFBFBF"/>
              <w:bottom w:val="single" w:sz="4" w:space="0" w:color="BFBFBF"/>
              <w:right w:val="single" w:sz="4" w:space="0" w:color="BFBFBF"/>
            </w:tcBorders>
            <w:shd w:val="clear" w:color="auto" w:fill="FDEEEE"/>
            <w:tcMar>
              <w:top w:w="140" w:type="dxa"/>
              <w:left w:w="120" w:type="dxa"/>
              <w:bottom w:w="140" w:type="dxa"/>
              <w:right w:w="120" w:type="dxa"/>
            </w:tcMar>
          </w:tcPr>
          <w:p w14:paraId="3AEB7236" w14:textId="77777777" w:rsidR="0025534A" w:rsidRDefault="001F7044">
            <w:pPr>
              <w:jc w:val="center"/>
            </w:pPr>
            <w:r>
              <w:rPr>
                <w:b/>
                <w:bCs/>
                <w:color w:val="000000"/>
              </w:rPr>
              <w:t>100</w:t>
            </w:r>
          </w:p>
        </w:tc>
        <w:tc>
          <w:tcPr>
            <w:tcW w:w="4360" w:type="dxa"/>
            <w:tcBorders>
              <w:top w:val="single" w:sz="4" w:space="0" w:color="BFBFBF"/>
              <w:left w:val="single" w:sz="4" w:space="0" w:color="BFBFBF"/>
              <w:bottom w:val="single" w:sz="4" w:space="0" w:color="BFBFBF"/>
              <w:right w:val="single" w:sz="4" w:space="0" w:color="BFBFBF"/>
            </w:tcBorders>
            <w:shd w:val="clear" w:color="auto" w:fill="FDEEEE"/>
            <w:tcMar>
              <w:top w:w="140" w:type="dxa"/>
              <w:left w:w="120" w:type="dxa"/>
              <w:bottom w:w="140" w:type="dxa"/>
              <w:right w:w="120" w:type="dxa"/>
            </w:tcMar>
          </w:tcPr>
          <w:p w14:paraId="758947AC" w14:textId="77777777" w:rsidR="0025534A" w:rsidRDefault="001F7044">
            <w:r>
              <w:rPr>
                <w:i/>
                <w:iCs/>
                <w:color w:val="595959"/>
                <w:sz w:val="20"/>
                <w:szCs w:val="20"/>
              </w:rPr>
              <w:t>Must equal 100</w:t>
            </w:r>
          </w:p>
        </w:tc>
      </w:tr>
    </w:tbl>
    <w:p w14:paraId="53E089C0" w14:textId="77777777" w:rsidR="0025534A" w:rsidRDefault="001F7044">
      <w:pPr>
        <w:pStyle w:val="Heading3"/>
        <w:spacing w:before="220" w:after="100"/>
      </w:pPr>
      <w:r>
        <w:rPr>
          <w:b/>
          <w:bCs/>
        </w:rPr>
        <w:t>The Three Assumptions Your Allocation Rests On</w:t>
      </w:r>
    </w:p>
    <w:p w14:paraId="68117718" w14:textId="77777777" w:rsidR="0025534A" w:rsidRDefault="001F7044">
      <w:pPr>
        <w:spacing w:before="80" w:after="80"/>
      </w:pPr>
      <w:r>
        <w:t xml:space="preserve">Before the bell rings, write down the three assumptions that, if they bent, would change your allocation. These are coming back </w:t>
      </w:r>
      <w:proofErr w:type="gramStart"/>
      <w:r>
        <w:t>at</w:t>
      </w:r>
      <w:proofErr w:type="gramEnd"/>
      <w:r>
        <w:t xml:space="preserve"> you in Round 2.</w:t>
      </w:r>
    </w:p>
    <w:p w14:paraId="0112C697" w14:textId="77777777" w:rsidR="0025534A" w:rsidRDefault="001F7044">
      <w:pPr>
        <w:spacing w:before="80" w:after="80"/>
      </w:pPr>
      <w:r>
        <w:rPr>
          <w:b/>
          <w:bCs/>
        </w:rPr>
        <w:t xml:space="preserve">1. </w:t>
      </w:r>
      <w:r>
        <w:t>____________________________________________________________________________________________________________</w:t>
      </w:r>
    </w:p>
    <w:p w14:paraId="48592D6D" w14:textId="77777777" w:rsidR="0025534A" w:rsidRDefault="001F7044">
      <w:pPr>
        <w:spacing w:before="80" w:after="80"/>
      </w:pPr>
      <w:r>
        <w:t>____________________________________________________________________________________________________________</w:t>
      </w:r>
    </w:p>
    <w:p w14:paraId="20308CA3" w14:textId="77777777" w:rsidR="0025534A" w:rsidRDefault="001F7044">
      <w:pPr>
        <w:spacing w:before="80" w:after="80"/>
      </w:pPr>
      <w:r>
        <w:rPr>
          <w:b/>
          <w:bCs/>
        </w:rPr>
        <w:t xml:space="preserve">2. </w:t>
      </w:r>
      <w:r>
        <w:t>____________________________________________________________________________________________________________</w:t>
      </w:r>
    </w:p>
    <w:p w14:paraId="01900696" w14:textId="77777777" w:rsidR="0025534A" w:rsidRDefault="001F7044">
      <w:pPr>
        <w:spacing w:before="80" w:after="80"/>
      </w:pPr>
      <w:r>
        <w:t>____________________________________________________________________________________________________________</w:t>
      </w:r>
    </w:p>
    <w:p w14:paraId="0D5952E8" w14:textId="77777777" w:rsidR="0025534A" w:rsidRDefault="001F7044">
      <w:pPr>
        <w:spacing w:before="80" w:after="80"/>
      </w:pPr>
      <w:r>
        <w:rPr>
          <w:b/>
          <w:bCs/>
        </w:rPr>
        <w:t xml:space="preserve">3. </w:t>
      </w:r>
      <w:r>
        <w:t>____________________________________________________________________________________________________________</w:t>
      </w:r>
    </w:p>
    <w:p w14:paraId="36CE3A6B" w14:textId="77777777" w:rsidR="0025534A" w:rsidRDefault="001F7044">
      <w:pPr>
        <w:spacing w:before="80" w:after="80"/>
      </w:pPr>
      <w:r>
        <w:lastRenderedPageBreak/>
        <w:t>____________________________________________________________________________________________________________</w:t>
      </w:r>
    </w:p>
    <w:p w14:paraId="20A3D953" w14:textId="77777777" w:rsidR="0025534A" w:rsidRDefault="001F7044">
      <w:pPr>
        <w:pStyle w:val="Heading3"/>
        <w:spacing w:before="220" w:after="100"/>
      </w:pPr>
      <w:r>
        <w:rPr>
          <w:b/>
          <w:bCs/>
        </w:rPr>
        <w:t>What You Are Starving and Why</w:t>
      </w:r>
    </w:p>
    <w:p w14:paraId="48D51B05" w14:textId="77777777" w:rsidR="0025534A" w:rsidRDefault="001F7044">
      <w:pPr>
        <w:spacing w:before="80" w:after="80"/>
      </w:pPr>
      <w:r>
        <w:t>Name the one or two options you allocated zero (or near-zero) to and defend that decision in one or two sentences.</w:t>
      </w:r>
    </w:p>
    <w:p w14:paraId="327A6ECD" w14:textId="77777777" w:rsidR="0025534A" w:rsidRDefault="001F7044">
      <w:pPr>
        <w:spacing w:before="80" w:after="80"/>
      </w:pPr>
      <w:r>
        <w:t>____________________________________________________________________________________________________________</w:t>
      </w:r>
    </w:p>
    <w:p w14:paraId="1DF97C1A" w14:textId="77777777" w:rsidR="0025534A" w:rsidRDefault="001F7044">
      <w:pPr>
        <w:spacing w:before="80" w:after="80"/>
      </w:pPr>
      <w:r>
        <w:t>____________________________________________________________________________________________________________</w:t>
      </w:r>
    </w:p>
    <w:p w14:paraId="071AABD1" w14:textId="77777777" w:rsidR="0025534A" w:rsidRDefault="001F7044">
      <w:pPr>
        <w:spacing w:before="80" w:after="80"/>
      </w:pPr>
      <w:r>
        <w:t>____________________________________________________________________________________________________________</w:t>
      </w:r>
    </w:p>
    <w:p w14:paraId="253E3783" w14:textId="77777777" w:rsidR="0025534A" w:rsidRDefault="001F7044">
      <w:r>
        <w:br w:type="page"/>
      </w:r>
    </w:p>
    <w:p w14:paraId="5EE4541C" w14:textId="77777777" w:rsidR="0025534A" w:rsidRDefault="001F7044">
      <w:pPr>
        <w:pStyle w:val="Heading1"/>
        <w:spacing w:before="360" w:after="200"/>
      </w:pPr>
      <w:r>
        <w:rPr>
          <w:b/>
          <w:bCs/>
          <w:color w:val="C8102E"/>
        </w:rPr>
        <w:lastRenderedPageBreak/>
        <w:t>Round 2 Reallocation Worksheet</w:t>
      </w:r>
    </w:p>
    <w:p w14:paraId="787BA6DC" w14:textId="6E87DDE7" w:rsidR="0025534A" w:rsidRDefault="001F7044">
      <w:pPr>
        <w:pBdr>
          <w:left w:val="single" w:sz="24" w:space="8" w:color="C8102E"/>
        </w:pBdr>
        <w:shd w:val="clear" w:color="auto" w:fill="FDEEEE"/>
        <w:spacing w:before="140" w:after="140"/>
      </w:pPr>
      <w:r>
        <w:rPr>
          <w:i/>
          <w:iCs/>
        </w:rPr>
        <w:t xml:space="preserve">A </w:t>
      </w:r>
      <w:r w:rsidR="00862C3F">
        <w:rPr>
          <w:i/>
          <w:iCs/>
        </w:rPr>
        <w:t xml:space="preserve">list of </w:t>
      </w:r>
      <w:r>
        <w:rPr>
          <w:i/>
          <w:iCs/>
        </w:rPr>
        <w:t>scenario</w:t>
      </w:r>
      <w:r w:rsidR="00862C3F">
        <w:rPr>
          <w:i/>
          <w:iCs/>
        </w:rPr>
        <w:t>s</w:t>
      </w:r>
      <w:r>
        <w:rPr>
          <w:i/>
          <w:iCs/>
        </w:rPr>
        <w:t xml:space="preserve"> has </w:t>
      </w:r>
      <w:r w:rsidR="00862C3F">
        <w:rPr>
          <w:i/>
          <w:iCs/>
        </w:rPr>
        <w:t>been provided.</w:t>
      </w:r>
      <w:r>
        <w:rPr>
          <w:i/>
          <w:iCs/>
        </w:rPr>
        <w:t xml:space="preserve"> Your previous allocation is not invalid, but it is no longer current. You have </w:t>
      </w:r>
      <w:r w:rsidR="00862C3F">
        <w:rPr>
          <w:i/>
          <w:iCs/>
        </w:rPr>
        <w:t>30</w:t>
      </w:r>
      <w:r>
        <w:rPr>
          <w:i/>
          <w:iCs/>
        </w:rPr>
        <w:t xml:space="preserve"> minutes to </w:t>
      </w:r>
      <w:r w:rsidR="00862C3F">
        <w:rPr>
          <w:i/>
          <w:iCs/>
        </w:rPr>
        <w:t xml:space="preserve">pick an interesting “curveball” that could impact your strategic approach, </w:t>
      </w:r>
      <w:r>
        <w:rPr>
          <w:i/>
          <w:iCs/>
        </w:rPr>
        <w:t>decide what stays, what moves, and why.</w:t>
      </w:r>
    </w:p>
    <w:p w14:paraId="3ABD4D51" w14:textId="77777777" w:rsidR="0025534A" w:rsidRDefault="001F7044">
      <w:pPr>
        <w:pStyle w:val="Heading3"/>
        <w:spacing w:before="220" w:after="100"/>
      </w:pPr>
      <w:r>
        <w:rPr>
          <w:b/>
          <w:bCs/>
        </w:rPr>
        <w:t>Three Questions to Anchor Your Reallocation</w:t>
      </w:r>
    </w:p>
    <w:p w14:paraId="0B4BFEF6" w14:textId="567A4BE6" w:rsidR="0025534A" w:rsidRDefault="001F7044">
      <w:pPr>
        <w:pStyle w:val="ListParagraph"/>
        <w:numPr>
          <w:ilvl w:val="0"/>
          <w:numId w:val="2"/>
        </w:numPr>
        <w:spacing w:before="60" w:after="60"/>
      </w:pPr>
      <w:r>
        <w:rPr>
          <w:b/>
          <w:bCs/>
        </w:rPr>
        <w:t xml:space="preserve">Which of my Round 1 assumptions did this scenario invalidate? Which did it </w:t>
      </w:r>
      <w:r w:rsidR="00862C3F">
        <w:rPr>
          <w:b/>
          <w:bCs/>
        </w:rPr>
        <w:t>reinforce</w:t>
      </w:r>
      <w:r>
        <w:rPr>
          <w:b/>
          <w:bCs/>
        </w:rPr>
        <w:t>?</w:t>
      </w:r>
    </w:p>
    <w:p w14:paraId="7D80D15F" w14:textId="77777777" w:rsidR="0025534A" w:rsidRDefault="001F7044">
      <w:pPr>
        <w:pStyle w:val="ListParagraph"/>
        <w:numPr>
          <w:ilvl w:val="0"/>
          <w:numId w:val="2"/>
        </w:numPr>
        <w:spacing w:before="60" w:after="60"/>
      </w:pPr>
      <w:r>
        <w:rPr>
          <w:b/>
          <w:bCs/>
        </w:rPr>
        <w:t>Am I reallocating because my strategic posture changed, or because it just feels uncomfortable?</w:t>
      </w:r>
    </w:p>
    <w:p w14:paraId="51ED1795" w14:textId="77777777" w:rsidR="0025534A" w:rsidRDefault="001F7044">
      <w:pPr>
        <w:pStyle w:val="ListParagraph"/>
        <w:numPr>
          <w:ilvl w:val="0"/>
          <w:numId w:val="2"/>
        </w:numPr>
        <w:spacing w:before="60" w:after="60"/>
      </w:pPr>
      <w:r>
        <w:rPr>
          <w:b/>
          <w:bCs/>
        </w:rPr>
        <w:t>What would have to be true for my reallocation to be wrong?</w:t>
      </w:r>
    </w:p>
    <w:p w14:paraId="0FAE8287" w14:textId="77777777" w:rsidR="0025534A" w:rsidRDefault="001F7044">
      <w:pPr>
        <w:pStyle w:val="Heading3"/>
        <w:spacing w:before="220" w:after="100"/>
      </w:pPr>
      <w:r>
        <w:rPr>
          <w:b/>
          <w:bCs/>
        </w:rPr>
        <w:t>Revised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900"/>
        <w:gridCol w:w="900"/>
        <w:gridCol w:w="4060"/>
      </w:tblGrid>
      <w:tr w:rsidR="0025534A" w14:paraId="4CC2286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C8102E"/>
            <w:tcMar>
              <w:top w:w="140" w:type="dxa"/>
              <w:left w:w="120" w:type="dxa"/>
              <w:bottom w:w="140" w:type="dxa"/>
              <w:right w:w="120" w:type="dxa"/>
            </w:tcMar>
          </w:tcPr>
          <w:p w14:paraId="34D22EE3" w14:textId="77777777" w:rsidR="0025534A" w:rsidRDefault="001F7044">
            <w:r>
              <w:rPr>
                <w:b/>
                <w:bCs/>
                <w:color w:val="FFFFFF"/>
                <w:sz w:val="20"/>
                <w:szCs w:val="20"/>
              </w:rPr>
              <w:t>Strategic Option</w:t>
            </w:r>
          </w:p>
        </w:tc>
        <w:tc>
          <w:tcPr>
            <w:tcW w:w="900" w:type="dxa"/>
            <w:tcBorders>
              <w:top w:val="single" w:sz="4" w:space="0" w:color="BFBFBF"/>
              <w:left w:val="single" w:sz="4" w:space="0" w:color="BFBFBF"/>
              <w:bottom w:val="single" w:sz="4" w:space="0" w:color="BFBFBF"/>
              <w:right w:val="single" w:sz="4" w:space="0" w:color="BFBFBF"/>
            </w:tcBorders>
            <w:shd w:val="clear" w:color="auto" w:fill="C8102E"/>
            <w:tcMar>
              <w:top w:w="140" w:type="dxa"/>
              <w:left w:w="120" w:type="dxa"/>
              <w:bottom w:w="140" w:type="dxa"/>
              <w:right w:w="120" w:type="dxa"/>
            </w:tcMar>
          </w:tcPr>
          <w:p w14:paraId="7E5D9CFE" w14:textId="77777777" w:rsidR="0025534A" w:rsidRDefault="001F7044">
            <w:pPr>
              <w:jc w:val="center"/>
            </w:pPr>
            <w:r>
              <w:rPr>
                <w:b/>
                <w:bCs/>
                <w:color w:val="FFFFFF"/>
                <w:sz w:val="20"/>
                <w:szCs w:val="20"/>
              </w:rPr>
              <w:t>R1 Units</w:t>
            </w:r>
          </w:p>
        </w:tc>
        <w:tc>
          <w:tcPr>
            <w:tcW w:w="900" w:type="dxa"/>
            <w:tcBorders>
              <w:top w:val="single" w:sz="4" w:space="0" w:color="BFBFBF"/>
              <w:left w:val="single" w:sz="4" w:space="0" w:color="BFBFBF"/>
              <w:bottom w:val="single" w:sz="4" w:space="0" w:color="BFBFBF"/>
              <w:right w:val="single" w:sz="4" w:space="0" w:color="BFBFBF"/>
            </w:tcBorders>
            <w:shd w:val="clear" w:color="auto" w:fill="C8102E"/>
            <w:tcMar>
              <w:top w:w="140" w:type="dxa"/>
              <w:left w:w="120" w:type="dxa"/>
              <w:bottom w:w="140" w:type="dxa"/>
              <w:right w:w="120" w:type="dxa"/>
            </w:tcMar>
          </w:tcPr>
          <w:p w14:paraId="685CB701" w14:textId="77777777" w:rsidR="0025534A" w:rsidRDefault="001F7044">
            <w:pPr>
              <w:jc w:val="center"/>
            </w:pPr>
            <w:r>
              <w:rPr>
                <w:b/>
                <w:bCs/>
                <w:color w:val="FFFFFF"/>
                <w:sz w:val="20"/>
                <w:szCs w:val="20"/>
              </w:rPr>
              <w:t>R2 Units</w:t>
            </w:r>
          </w:p>
        </w:tc>
        <w:tc>
          <w:tcPr>
            <w:tcW w:w="4060" w:type="dxa"/>
            <w:tcBorders>
              <w:top w:val="single" w:sz="4" w:space="0" w:color="BFBFBF"/>
              <w:left w:val="single" w:sz="4" w:space="0" w:color="BFBFBF"/>
              <w:bottom w:val="single" w:sz="4" w:space="0" w:color="BFBFBF"/>
              <w:right w:val="single" w:sz="4" w:space="0" w:color="BFBFBF"/>
            </w:tcBorders>
            <w:shd w:val="clear" w:color="auto" w:fill="C8102E"/>
            <w:tcMar>
              <w:top w:w="140" w:type="dxa"/>
              <w:left w:w="120" w:type="dxa"/>
              <w:bottom w:w="140" w:type="dxa"/>
              <w:right w:w="120" w:type="dxa"/>
            </w:tcMar>
          </w:tcPr>
          <w:p w14:paraId="47E58F95" w14:textId="77777777" w:rsidR="0025534A" w:rsidRDefault="001F7044">
            <w:r>
              <w:rPr>
                <w:b/>
                <w:bCs/>
                <w:color w:val="FFFFFF"/>
                <w:sz w:val="20"/>
                <w:szCs w:val="20"/>
              </w:rPr>
              <w:t xml:space="preserve">Why It Changed (or </w:t>
            </w:r>
            <w:proofErr w:type="gramStart"/>
            <w:r>
              <w:rPr>
                <w:b/>
                <w:bCs/>
                <w:color w:val="FFFFFF"/>
                <w:sz w:val="20"/>
                <w:szCs w:val="20"/>
              </w:rPr>
              <w:t>Stayed</w:t>
            </w:r>
            <w:proofErr w:type="gramEnd"/>
            <w:r>
              <w:rPr>
                <w:b/>
                <w:bCs/>
                <w:color w:val="FFFFFF"/>
                <w:sz w:val="20"/>
                <w:szCs w:val="20"/>
              </w:rPr>
              <w:t>)</w:t>
            </w:r>
          </w:p>
        </w:tc>
      </w:tr>
      <w:tr w:rsidR="0025534A" w14:paraId="5D66915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4F942EF6" w14:textId="77777777" w:rsidR="0025534A" w:rsidRDefault="001F7044">
            <w:r>
              <w:rPr>
                <w:color w:val="000000"/>
                <w:sz w:val="20"/>
                <w:szCs w:val="20"/>
              </w:rPr>
              <w:t>1. Accelerate GK One expansion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02DA7AC6" w14:textId="77777777" w:rsidR="0025534A" w:rsidRDefault="0025534A">
            <w:pPr>
              <w:jc w:val="center"/>
            </w:pP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2A4A485" w14:textId="77777777" w:rsidR="0025534A" w:rsidRDefault="0025534A">
            <w:pPr>
              <w:jc w:val="center"/>
            </w:pP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51484AB3" w14:textId="77777777" w:rsidR="0025534A" w:rsidRDefault="0025534A"/>
        </w:tc>
      </w:tr>
      <w:tr w:rsidR="0025534A" w14:paraId="744BE07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42E2880D" w14:textId="77777777" w:rsidR="0025534A" w:rsidRDefault="001F7044">
            <w:r>
              <w:rPr>
                <w:color w:val="000000"/>
                <w:sz w:val="20"/>
                <w:szCs w:val="20"/>
              </w:rPr>
              <w:t>2. Deepen GKGI–</w:t>
            </w:r>
            <w:proofErr w:type="spellStart"/>
            <w:r>
              <w:rPr>
                <w:color w:val="000000"/>
                <w:sz w:val="20"/>
                <w:szCs w:val="20"/>
              </w:rPr>
              <w:t>ScotiaProtect</w:t>
            </w:r>
            <w:proofErr w:type="spellEnd"/>
            <w:r>
              <w:rPr>
                <w:color w:val="000000"/>
                <w:sz w:val="20"/>
                <w:szCs w:val="20"/>
              </w:rPr>
              <w:t xml:space="preserve"> partnership</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078A4593" w14:textId="77777777" w:rsidR="0025534A" w:rsidRDefault="0025534A">
            <w:pPr>
              <w:jc w:val="center"/>
            </w:pP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5E9BCCA0" w14:textId="77777777" w:rsidR="0025534A" w:rsidRDefault="0025534A">
            <w:pPr>
              <w:jc w:val="center"/>
            </w:pP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A06071F" w14:textId="77777777" w:rsidR="0025534A" w:rsidRDefault="0025534A"/>
        </w:tc>
      </w:tr>
      <w:tr w:rsidR="0025534A" w14:paraId="1F57B78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DEE2106" w14:textId="77777777" w:rsidR="0025534A" w:rsidRDefault="001F7044">
            <w:r>
              <w:rPr>
                <w:color w:val="000000"/>
                <w:sz w:val="20"/>
                <w:szCs w:val="20"/>
              </w:rPr>
              <w:t>3. Expand FGB lending post-Melissa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5375B23A" w14:textId="77777777" w:rsidR="0025534A" w:rsidRDefault="0025534A">
            <w:pPr>
              <w:jc w:val="center"/>
            </w:pP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65434D1C" w14:textId="77777777" w:rsidR="0025534A" w:rsidRDefault="0025534A">
            <w:pPr>
              <w:jc w:val="center"/>
            </w:pP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61F2168B" w14:textId="77777777" w:rsidR="0025534A" w:rsidRDefault="0025534A"/>
        </w:tc>
      </w:tr>
      <w:tr w:rsidR="0025534A" w14:paraId="6381120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03277DA6" w14:textId="77777777" w:rsidR="0025534A" w:rsidRDefault="001F7044">
            <w:r>
              <w:rPr>
                <w:color w:val="000000"/>
                <w:sz w:val="20"/>
                <w:szCs w:val="20"/>
              </w:rPr>
              <w:t>4. Invest in unified customer data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D0BFC1C" w14:textId="77777777" w:rsidR="0025534A" w:rsidRDefault="0025534A">
            <w:pPr>
              <w:jc w:val="center"/>
            </w:pP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6FD3777E" w14:textId="77777777" w:rsidR="0025534A" w:rsidRDefault="0025534A">
            <w:pPr>
              <w:jc w:val="center"/>
            </w:pP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E9C0BE5" w14:textId="77777777" w:rsidR="0025534A" w:rsidRDefault="0025534A"/>
        </w:tc>
      </w:tr>
      <w:tr w:rsidR="0025534A" w14:paraId="706A1C5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699E6FF6" w14:textId="77777777" w:rsidR="0025534A" w:rsidRDefault="001F7044">
            <w:r>
              <w:rPr>
                <w:color w:val="000000"/>
                <w:sz w:val="20"/>
                <w:szCs w:val="20"/>
              </w:rPr>
              <w:t>5. Build risk and AML analytics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7E3A1824" w14:textId="77777777" w:rsidR="0025534A" w:rsidRDefault="0025534A">
            <w:pPr>
              <w:jc w:val="center"/>
            </w:pP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5BD0CE0" w14:textId="77777777" w:rsidR="0025534A" w:rsidRDefault="0025534A">
            <w:pPr>
              <w:jc w:val="center"/>
            </w:pP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0A3A127" w14:textId="77777777" w:rsidR="0025534A" w:rsidRDefault="0025534A"/>
        </w:tc>
      </w:tr>
      <w:tr w:rsidR="0025534A" w14:paraId="77602E5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31CE719A" w14:textId="77777777" w:rsidR="0025534A" w:rsidRDefault="001F7044">
            <w:r>
              <w:rPr>
                <w:color w:val="000000"/>
                <w:sz w:val="20"/>
                <w:szCs w:val="20"/>
              </w:rPr>
              <w:t>6. Modernize branch operations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57E8F0BE" w14:textId="77777777" w:rsidR="0025534A" w:rsidRDefault="0025534A">
            <w:pPr>
              <w:jc w:val="center"/>
            </w:pP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E689406" w14:textId="77777777" w:rsidR="0025534A" w:rsidRDefault="0025534A">
            <w:pPr>
              <w:jc w:val="center"/>
            </w:pP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2D036C58" w14:textId="77777777" w:rsidR="0025534A" w:rsidRDefault="0025534A"/>
        </w:tc>
      </w:tr>
      <w:tr w:rsidR="0025534A" w14:paraId="14B71C22"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3FDF305A" w14:textId="77777777" w:rsidR="0025534A" w:rsidRDefault="001F7044">
            <w:r>
              <w:rPr>
                <w:color w:val="000000"/>
                <w:sz w:val="20"/>
                <w:szCs w:val="20"/>
              </w:rPr>
              <w:t>7. Strengthen workforce &amp; retention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704EB7B2" w14:textId="77777777" w:rsidR="0025534A" w:rsidRDefault="0025534A">
            <w:pPr>
              <w:jc w:val="center"/>
            </w:pP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16EA210D" w14:textId="77777777" w:rsidR="0025534A" w:rsidRDefault="0025534A">
            <w:pPr>
              <w:jc w:val="center"/>
            </w:pP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2F02AD17" w14:textId="77777777" w:rsidR="0025534A" w:rsidRDefault="0025534A"/>
        </w:tc>
      </w:tr>
      <w:tr w:rsidR="0025534A" w14:paraId="4BE35C7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4FBEF07C" w14:textId="77777777" w:rsidR="0025534A" w:rsidRDefault="001F7044">
            <w:r>
              <w:rPr>
                <w:color w:val="000000"/>
                <w:sz w:val="20"/>
                <w:szCs w:val="20"/>
              </w:rPr>
              <w:t>8. (Optional) Your own option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6B1C9E5C" w14:textId="77777777" w:rsidR="0025534A" w:rsidRDefault="0025534A">
            <w:pPr>
              <w:jc w:val="center"/>
            </w:pP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43F41D0B" w14:textId="77777777" w:rsidR="0025534A" w:rsidRDefault="0025534A">
            <w:pPr>
              <w:jc w:val="center"/>
            </w:pP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140" w:type="dxa"/>
              <w:left w:w="120" w:type="dxa"/>
              <w:bottom w:w="140" w:type="dxa"/>
              <w:right w:w="120" w:type="dxa"/>
            </w:tcMar>
          </w:tcPr>
          <w:p w14:paraId="070AFEF3" w14:textId="77777777" w:rsidR="0025534A" w:rsidRDefault="0025534A"/>
        </w:tc>
      </w:tr>
      <w:tr w:rsidR="0025534A" w14:paraId="7B8FB0E7"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DEEEE"/>
            <w:tcMar>
              <w:top w:w="140" w:type="dxa"/>
              <w:left w:w="120" w:type="dxa"/>
              <w:bottom w:w="140" w:type="dxa"/>
              <w:right w:w="120" w:type="dxa"/>
            </w:tcMar>
          </w:tcPr>
          <w:p w14:paraId="6C5FE154" w14:textId="77777777" w:rsidR="0025534A" w:rsidRDefault="001F7044">
            <w:r>
              <w:rPr>
                <w:b/>
                <w:bCs/>
                <w:color w:val="000000"/>
                <w:sz w:val="20"/>
                <w:szCs w:val="20"/>
              </w:rPr>
              <w:t>TOTAL</w:t>
            </w:r>
          </w:p>
        </w:tc>
        <w:tc>
          <w:tcPr>
            <w:tcW w:w="900" w:type="dxa"/>
            <w:tcBorders>
              <w:top w:val="single" w:sz="4" w:space="0" w:color="BFBFBF"/>
              <w:left w:val="single" w:sz="4" w:space="0" w:color="BFBFBF"/>
              <w:bottom w:val="single" w:sz="4" w:space="0" w:color="BFBFBF"/>
              <w:right w:val="single" w:sz="4" w:space="0" w:color="BFBFBF"/>
            </w:tcBorders>
            <w:shd w:val="clear" w:color="auto" w:fill="FDEEEE"/>
            <w:tcMar>
              <w:top w:w="140" w:type="dxa"/>
              <w:left w:w="120" w:type="dxa"/>
              <w:bottom w:w="140" w:type="dxa"/>
              <w:right w:w="120" w:type="dxa"/>
            </w:tcMar>
          </w:tcPr>
          <w:p w14:paraId="35543D04" w14:textId="77777777" w:rsidR="0025534A" w:rsidRDefault="001F7044">
            <w:pPr>
              <w:jc w:val="center"/>
            </w:pPr>
            <w:r>
              <w:rPr>
                <w:b/>
                <w:bCs/>
                <w:color w:val="000000"/>
                <w:sz w:val="20"/>
                <w:szCs w:val="20"/>
              </w:rPr>
              <w:t>100</w:t>
            </w:r>
          </w:p>
        </w:tc>
        <w:tc>
          <w:tcPr>
            <w:tcW w:w="900" w:type="dxa"/>
            <w:tcBorders>
              <w:top w:val="single" w:sz="4" w:space="0" w:color="BFBFBF"/>
              <w:left w:val="single" w:sz="4" w:space="0" w:color="BFBFBF"/>
              <w:bottom w:val="single" w:sz="4" w:space="0" w:color="BFBFBF"/>
              <w:right w:val="single" w:sz="4" w:space="0" w:color="BFBFBF"/>
            </w:tcBorders>
            <w:shd w:val="clear" w:color="auto" w:fill="FDEEEE"/>
            <w:tcMar>
              <w:top w:w="140" w:type="dxa"/>
              <w:left w:w="120" w:type="dxa"/>
              <w:bottom w:w="140" w:type="dxa"/>
              <w:right w:w="120" w:type="dxa"/>
            </w:tcMar>
          </w:tcPr>
          <w:p w14:paraId="7BB592B3" w14:textId="77777777" w:rsidR="0025534A" w:rsidRDefault="001F7044">
            <w:pPr>
              <w:jc w:val="center"/>
            </w:pPr>
            <w:r>
              <w:rPr>
                <w:b/>
                <w:bCs/>
                <w:color w:val="000000"/>
                <w:sz w:val="20"/>
                <w:szCs w:val="20"/>
              </w:rPr>
              <w:t>100</w:t>
            </w:r>
          </w:p>
        </w:tc>
        <w:tc>
          <w:tcPr>
            <w:tcW w:w="4060" w:type="dxa"/>
            <w:tcBorders>
              <w:top w:val="single" w:sz="4" w:space="0" w:color="BFBFBF"/>
              <w:left w:val="single" w:sz="4" w:space="0" w:color="BFBFBF"/>
              <w:bottom w:val="single" w:sz="4" w:space="0" w:color="BFBFBF"/>
              <w:right w:val="single" w:sz="4" w:space="0" w:color="BFBFBF"/>
            </w:tcBorders>
            <w:shd w:val="clear" w:color="auto" w:fill="FDEEEE"/>
            <w:tcMar>
              <w:top w:w="140" w:type="dxa"/>
              <w:left w:w="120" w:type="dxa"/>
              <w:bottom w:w="140" w:type="dxa"/>
              <w:right w:w="120" w:type="dxa"/>
            </w:tcMar>
          </w:tcPr>
          <w:p w14:paraId="7FC9CB78" w14:textId="77777777" w:rsidR="0025534A" w:rsidRDefault="001F7044">
            <w:r>
              <w:rPr>
                <w:b/>
                <w:bCs/>
                <w:color w:val="000000"/>
                <w:sz w:val="20"/>
                <w:szCs w:val="20"/>
              </w:rPr>
              <w:t>Both columns equal 100</w:t>
            </w:r>
          </w:p>
        </w:tc>
      </w:tr>
    </w:tbl>
    <w:p w14:paraId="528286ED" w14:textId="77777777" w:rsidR="0025534A" w:rsidRDefault="001F7044">
      <w:pPr>
        <w:pStyle w:val="Heading3"/>
        <w:spacing w:before="220" w:after="100"/>
      </w:pPr>
      <w:r>
        <w:rPr>
          <w:b/>
          <w:bCs/>
        </w:rPr>
        <w:t>Your One-Sentence Summary</w:t>
      </w:r>
    </w:p>
    <w:p w14:paraId="747F196C" w14:textId="77777777" w:rsidR="0025534A" w:rsidRDefault="001F7044">
      <w:pPr>
        <w:spacing w:before="80" w:after="80"/>
      </w:pPr>
      <w:r>
        <w:t>In one sentence: what changed and why?</w:t>
      </w:r>
    </w:p>
    <w:p w14:paraId="4AFF3095" w14:textId="77777777" w:rsidR="0025534A" w:rsidRDefault="001F7044">
      <w:pPr>
        <w:spacing w:before="80" w:after="80"/>
      </w:pPr>
      <w:r>
        <w:t>____________________________________________________________________________________________________________</w:t>
      </w:r>
    </w:p>
    <w:p w14:paraId="3AF790C8" w14:textId="77777777" w:rsidR="0025534A" w:rsidRDefault="001F7044">
      <w:pPr>
        <w:spacing w:before="80" w:after="80"/>
      </w:pPr>
      <w:r>
        <w:t>____________________________________________________________________________________________________________</w:t>
      </w:r>
    </w:p>
    <w:p w14:paraId="467A1B87" w14:textId="77777777" w:rsidR="0025534A" w:rsidRDefault="001F7044">
      <w:pPr>
        <w:pStyle w:val="Heading3"/>
        <w:spacing w:before="220" w:after="100"/>
      </w:pPr>
      <w:r>
        <w:rPr>
          <w:b/>
          <w:bCs/>
        </w:rPr>
        <w:t>What Would Have to Be True for Your Reallocation to Be Wrong</w:t>
      </w:r>
    </w:p>
    <w:p w14:paraId="557EDFD6" w14:textId="77777777" w:rsidR="0025534A" w:rsidRDefault="001F7044">
      <w:pPr>
        <w:spacing w:before="80" w:after="80"/>
      </w:pPr>
      <w:r>
        <w:t>____________________________________________________________________________________________________________</w:t>
      </w:r>
    </w:p>
    <w:p w14:paraId="7F5DEDC1" w14:textId="77777777" w:rsidR="0025534A" w:rsidRDefault="001F7044">
      <w:pPr>
        <w:spacing w:before="80" w:after="80"/>
      </w:pPr>
      <w:r>
        <w:t>____________________________________________________________________________________________________________</w:t>
      </w:r>
    </w:p>
    <w:p w14:paraId="5176FD39" w14:textId="77777777" w:rsidR="0025534A" w:rsidRDefault="001F7044">
      <w:pPr>
        <w:spacing w:before="80" w:after="80"/>
      </w:pPr>
      <w:r>
        <w:lastRenderedPageBreak/>
        <w:t>____________________________________________________________________________________________________________</w:t>
      </w:r>
    </w:p>
    <w:p w14:paraId="5CDD5423" w14:textId="77777777" w:rsidR="0025534A" w:rsidRDefault="001F7044">
      <w:r>
        <w:br w:type="page"/>
      </w:r>
    </w:p>
    <w:p w14:paraId="31F1BA27" w14:textId="77777777" w:rsidR="0025534A" w:rsidRDefault="001F7044">
      <w:pPr>
        <w:pStyle w:val="Heading1"/>
        <w:spacing w:before="360" w:after="200"/>
      </w:pPr>
      <w:r>
        <w:rPr>
          <w:b/>
          <w:bCs/>
          <w:color w:val="C8102E"/>
        </w:rPr>
        <w:lastRenderedPageBreak/>
        <w:t>Round 3 Presentation Template</w:t>
      </w:r>
    </w:p>
    <w:p w14:paraId="217F322D" w14:textId="4FC3FF76" w:rsidR="0025534A" w:rsidRDefault="001F7044">
      <w:pPr>
        <w:spacing w:before="80" w:after="80"/>
      </w:pPr>
      <w:r>
        <w:t xml:space="preserve">Your table has </w:t>
      </w:r>
      <w:r w:rsidR="00862C3F">
        <w:t xml:space="preserve">less than </w:t>
      </w:r>
      <w:r>
        <w:t xml:space="preserve">3 minutes to deliver. Other tables will ask one question each. Use this template to structure your </w:t>
      </w:r>
      <w:r w:rsidR="00862C3F">
        <w:t>delivery but</w:t>
      </w:r>
      <w:r>
        <w:t xml:space="preserve"> speak from conviction — do not read.</w:t>
      </w:r>
    </w:p>
    <w:p w14:paraId="27B4B12E" w14:textId="77777777" w:rsidR="0025534A" w:rsidRDefault="001F7044">
      <w:pPr>
        <w:pStyle w:val="Heading3"/>
        <w:spacing w:before="220" w:after="100"/>
      </w:pPr>
      <w:r>
        <w:rPr>
          <w:b/>
          <w:bCs/>
        </w:rPr>
        <w:t xml:space="preserve">Slide </w:t>
      </w:r>
      <w:proofErr w:type="gramStart"/>
      <w:r>
        <w:rPr>
          <w:b/>
          <w:bCs/>
        </w:rPr>
        <w:t>1  |</w:t>
      </w:r>
      <w:proofErr w:type="gramEnd"/>
      <w:r>
        <w:rPr>
          <w:b/>
          <w:bCs/>
        </w:rPr>
        <w:t xml:space="preserve">  Our Final Allocation</w:t>
      </w:r>
    </w:p>
    <w:p w14:paraId="59FDFA77" w14:textId="77777777" w:rsidR="0025534A" w:rsidRDefault="001F7044">
      <w:pPr>
        <w:spacing w:before="80" w:after="80"/>
      </w:pPr>
      <w:r>
        <w:t>Show the post-curveball allocation on the team laptop slide template. Highlight your top three commitments.</w:t>
      </w:r>
    </w:p>
    <w:p w14:paraId="7F7E8F61" w14:textId="77777777" w:rsidR="0025534A" w:rsidRDefault="001F7044">
      <w:pPr>
        <w:pStyle w:val="Heading3"/>
        <w:spacing w:before="220" w:after="100"/>
      </w:pPr>
      <w:r>
        <w:rPr>
          <w:b/>
          <w:bCs/>
        </w:rPr>
        <w:t xml:space="preserve">Slide </w:t>
      </w:r>
      <w:proofErr w:type="gramStart"/>
      <w:r>
        <w:rPr>
          <w:b/>
          <w:bCs/>
        </w:rPr>
        <w:t>2  |</w:t>
      </w:r>
      <w:proofErr w:type="gramEnd"/>
      <w:r>
        <w:rPr>
          <w:b/>
          <w:bCs/>
        </w:rPr>
        <w:t xml:space="preserve">  Our Decision Logic in Three Sentences</w:t>
      </w:r>
    </w:p>
    <w:p w14:paraId="354F6883" w14:textId="77777777" w:rsidR="0025534A" w:rsidRDefault="001F7044">
      <w:pPr>
        <w:spacing w:before="80" w:after="80"/>
      </w:pPr>
      <w:r>
        <w:rPr>
          <w:b/>
          <w:bCs/>
        </w:rPr>
        <w:t xml:space="preserve">Insight: </w:t>
      </w:r>
      <w:r>
        <w:t>What does the data clearly suggest about where GKFG should place its strategic capacity?</w:t>
      </w:r>
    </w:p>
    <w:p w14:paraId="42692F33" w14:textId="77777777" w:rsidR="0025534A" w:rsidRDefault="001F7044">
      <w:pPr>
        <w:spacing w:before="80" w:after="80"/>
      </w:pPr>
      <w:r>
        <w:rPr>
          <w:b/>
          <w:bCs/>
        </w:rPr>
        <w:t xml:space="preserve">So-What: </w:t>
      </w:r>
      <w:r>
        <w:t>Why does this allocation matter — to the board, to customers, to the next 24 months?</w:t>
      </w:r>
    </w:p>
    <w:p w14:paraId="5844878D" w14:textId="77777777" w:rsidR="0025534A" w:rsidRDefault="001F7044">
      <w:pPr>
        <w:spacing w:before="80" w:after="80"/>
      </w:pPr>
      <w:r>
        <w:rPr>
          <w:b/>
          <w:bCs/>
        </w:rPr>
        <w:t>Now</w:t>
      </w:r>
      <w:proofErr w:type="gramStart"/>
      <w:r>
        <w:rPr>
          <w:b/>
          <w:bCs/>
        </w:rPr>
        <w:t xml:space="preserve">-What: </w:t>
      </w:r>
      <w:proofErr w:type="gramEnd"/>
      <w:r>
        <w:t>What is the single most important decision the board needs to make this quarter to enable our allocation?</w:t>
      </w:r>
    </w:p>
    <w:p w14:paraId="581105C3" w14:textId="77777777" w:rsidR="0025534A" w:rsidRDefault="001F7044">
      <w:pPr>
        <w:pStyle w:val="Heading3"/>
        <w:spacing w:before="220" w:after="100"/>
      </w:pPr>
      <w:r>
        <w:rPr>
          <w:b/>
          <w:bCs/>
        </w:rPr>
        <w:t xml:space="preserve">Slide </w:t>
      </w:r>
      <w:proofErr w:type="gramStart"/>
      <w:r>
        <w:rPr>
          <w:b/>
          <w:bCs/>
        </w:rPr>
        <w:t>3  |</w:t>
      </w:r>
      <w:proofErr w:type="gramEnd"/>
      <w:r>
        <w:rPr>
          <w:b/>
          <w:bCs/>
        </w:rPr>
        <w:t xml:space="preserve">  What Changed After the Curveball</w:t>
      </w:r>
    </w:p>
    <w:p w14:paraId="2016E601" w14:textId="77777777" w:rsidR="0025534A" w:rsidRDefault="001F7044">
      <w:pPr>
        <w:spacing w:before="80" w:after="80"/>
      </w:pPr>
      <w:r>
        <w:t>Show the side-by-side: Round 1 vs Round 2. Name explicitly what stayed fixed, what moved, and why.</w:t>
      </w:r>
    </w:p>
    <w:p w14:paraId="298277E0" w14:textId="77777777" w:rsidR="0025534A" w:rsidRDefault="001F7044">
      <w:pPr>
        <w:pStyle w:val="Heading3"/>
        <w:spacing w:before="220" w:after="100"/>
      </w:pPr>
      <w:r>
        <w:rPr>
          <w:b/>
          <w:bCs/>
        </w:rPr>
        <w:t xml:space="preserve">Slide </w:t>
      </w:r>
      <w:proofErr w:type="gramStart"/>
      <w:r>
        <w:rPr>
          <w:b/>
          <w:bCs/>
        </w:rPr>
        <w:t>4  |</w:t>
      </w:r>
      <w:proofErr w:type="gramEnd"/>
      <w:r>
        <w:rPr>
          <w:b/>
          <w:bCs/>
        </w:rPr>
        <w:t xml:space="preserve">  What Would Change Our Mind</w:t>
      </w:r>
    </w:p>
    <w:p w14:paraId="0D3D991B" w14:textId="77777777" w:rsidR="0025534A" w:rsidRDefault="001F7044">
      <w:pPr>
        <w:spacing w:before="80" w:after="80"/>
      </w:pPr>
      <w:r>
        <w:t xml:space="preserve">Name the two or three conditions that, if observed in the next two quarters, would force you to revisit. This is the slide that separates a thoughtful </w:t>
      </w:r>
      <w:proofErr w:type="spellStart"/>
      <w:r>
        <w:t>ExCo</w:t>
      </w:r>
      <w:proofErr w:type="spellEnd"/>
      <w:r>
        <w:t xml:space="preserve"> from a defensive one.</w:t>
      </w:r>
    </w:p>
    <w:p w14:paraId="0F27544A" w14:textId="77777777" w:rsidR="0025534A" w:rsidRDefault="001F7044">
      <w:pPr>
        <w:pStyle w:val="Heading3"/>
        <w:spacing w:before="220" w:after="100"/>
      </w:pPr>
      <w:r>
        <w:rPr>
          <w:b/>
          <w:bCs/>
        </w:rPr>
        <w:t>Decision Quality Self-Check</w:t>
      </w:r>
    </w:p>
    <w:p w14:paraId="72D94630" w14:textId="2D2C4149" w:rsidR="0025534A" w:rsidRDefault="001F7044">
      <w:pPr>
        <w:spacing w:before="80" w:after="80"/>
      </w:pPr>
      <w:r>
        <w:t xml:space="preserve">Before you </w:t>
      </w:r>
      <w:r>
        <w:t>present, run through this short checklist as a table:</w:t>
      </w:r>
    </w:p>
    <w:p w14:paraId="14669F31" w14:textId="77777777" w:rsidR="0025534A" w:rsidRDefault="001F7044">
      <w:pPr>
        <w:pStyle w:val="ListParagraph"/>
        <w:numPr>
          <w:ilvl w:val="0"/>
          <w:numId w:val="2"/>
        </w:numPr>
        <w:spacing w:before="60" w:after="60"/>
      </w:pPr>
      <w:r>
        <w:t>Can we name what we starved in one sentence and defend it?</w:t>
      </w:r>
    </w:p>
    <w:p w14:paraId="3FF5E91A" w14:textId="77777777" w:rsidR="0025534A" w:rsidRDefault="001F7044">
      <w:pPr>
        <w:pStyle w:val="ListParagraph"/>
        <w:numPr>
          <w:ilvl w:val="0"/>
          <w:numId w:val="2"/>
        </w:numPr>
        <w:spacing w:before="60" w:after="60"/>
      </w:pPr>
      <w:r>
        <w:t>Did our reallocation reflect a posture change — or did it just reflect discomfort?</w:t>
      </w:r>
    </w:p>
    <w:p w14:paraId="57FC5D2A" w14:textId="77777777" w:rsidR="0025534A" w:rsidRDefault="001F7044">
      <w:pPr>
        <w:pStyle w:val="ListParagraph"/>
        <w:numPr>
          <w:ilvl w:val="0"/>
          <w:numId w:val="2"/>
        </w:numPr>
        <w:spacing w:before="60" w:after="60"/>
      </w:pPr>
      <w:r>
        <w:t>Did we identify what would have to be true for us to be wrong?</w:t>
      </w:r>
    </w:p>
    <w:p w14:paraId="078F027B" w14:textId="77777777" w:rsidR="0025534A" w:rsidRDefault="001F7044">
      <w:pPr>
        <w:pStyle w:val="ListParagraph"/>
        <w:numPr>
          <w:ilvl w:val="0"/>
          <w:numId w:val="2"/>
        </w:numPr>
        <w:spacing w:before="60" w:after="60"/>
      </w:pPr>
      <w:r>
        <w:t>Are we presenting a real disagreement at the table, or pretending consensus?</w:t>
      </w:r>
    </w:p>
    <w:p w14:paraId="145EE395" w14:textId="77777777" w:rsidR="0025534A" w:rsidRDefault="001F7044">
      <w:pPr>
        <w:pStyle w:val="ListParagraph"/>
        <w:numPr>
          <w:ilvl w:val="0"/>
          <w:numId w:val="2"/>
        </w:numPr>
        <w:spacing w:before="60" w:after="60"/>
      </w:pPr>
      <w:r>
        <w:t xml:space="preserve">Have we tied our allocation to current GKFG context (Melissa, GK One, </w:t>
      </w:r>
      <w:proofErr w:type="spellStart"/>
      <w:r>
        <w:t>ScotiaProtect</w:t>
      </w:r>
      <w:proofErr w:type="spellEnd"/>
      <w:r>
        <w:t xml:space="preserve">, CEO </w:t>
      </w:r>
      <w:proofErr w:type="gramStart"/>
      <w:r>
        <w:t>transition) —</w:t>
      </w:r>
      <w:proofErr w:type="gramEnd"/>
      <w:r>
        <w:t xml:space="preserve"> or are we speaking abstractly?</w:t>
      </w:r>
    </w:p>
    <w:p w14:paraId="174D75C4" w14:textId="77777777" w:rsidR="0025534A" w:rsidRDefault="001F7044">
      <w:r>
        <w:br w:type="page"/>
      </w:r>
    </w:p>
    <w:p w14:paraId="11ABA13E" w14:textId="77777777" w:rsidR="0025534A" w:rsidRDefault="001F7044">
      <w:pPr>
        <w:pStyle w:val="Heading1"/>
        <w:spacing w:before="360" w:after="200"/>
      </w:pPr>
      <w:r>
        <w:rPr>
          <w:b/>
          <w:bCs/>
          <w:color w:val="C8102E"/>
        </w:rPr>
        <w:lastRenderedPageBreak/>
        <w:t>Post-Exercise Reflection</w:t>
      </w:r>
    </w:p>
    <w:p w14:paraId="0055947B" w14:textId="77777777" w:rsidR="0025534A" w:rsidRDefault="001F7044">
      <w:pPr>
        <w:spacing w:before="80" w:after="80"/>
      </w:pPr>
      <w:r>
        <w:t xml:space="preserve">Take five minutes before leaving this room to capture what </w:t>
      </w:r>
      <w:proofErr w:type="gramStart"/>
      <w:r>
        <w:t>changed</w:t>
      </w:r>
      <w:proofErr w:type="gramEnd"/>
      <w:r>
        <w:t xml:space="preserve"> in your thinking.</w:t>
      </w:r>
    </w:p>
    <w:p w14:paraId="6E2DD4B3" w14:textId="77777777" w:rsidR="0025534A" w:rsidRDefault="001F7044">
      <w:pPr>
        <w:pStyle w:val="Heading3"/>
        <w:spacing w:before="220" w:after="100"/>
      </w:pPr>
      <w:r>
        <w:rPr>
          <w:b/>
          <w:bCs/>
        </w:rPr>
        <w:t>One thing I now think differently about strategic allocation:</w:t>
      </w:r>
    </w:p>
    <w:p w14:paraId="6F45C2B3" w14:textId="77777777" w:rsidR="0025534A" w:rsidRDefault="001F7044">
      <w:pPr>
        <w:spacing w:before="80" w:after="80"/>
      </w:pPr>
      <w:r>
        <w:t>____________________________________________________________________________________________________________</w:t>
      </w:r>
    </w:p>
    <w:p w14:paraId="624B3600" w14:textId="77777777" w:rsidR="0025534A" w:rsidRDefault="001F7044">
      <w:pPr>
        <w:spacing w:before="80" w:after="80"/>
      </w:pPr>
      <w:r>
        <w:t>____________________________________________________________________________________________________________</w:t>
      </w:r>
    </w:p>
    <w:p w14:paraId="7A638A45" w14:textId="77777777" w:rsidR="0025534A" w:rsidRDefault="001F7044">
      <w:pPr>
        <w:spacing w:before="80" w:after="80"/>
      </w:pPr>
      <w:r>
        <w:t>____________________________________________________________________________________________________________</w:t>
      </w:r>
    </w:p>
    <w:p w14:paraId="57BC64F6" w14:textId="77777777" w:rsidR="0025534A" w:rsidRDefault="001F7044">
      <w:pPr>
        <w:pStyle w:val="Heading3"/>
        <w:spacing w:before="220" w:after="100"/>
      </w:pPr>
      <w:r>
        <w:rPr>
          <w:b/>
          <w:bCs/>
        </w:rPr>
        <w:t>One option my table starved that I now think we may have underweighted:</w:t>
      </w:r>
    </w:p>
    <w:p w14:paraId="717A20C8" w14:textId="77777777" w:rsidR="0025534A" w:rsidRDefault="001F7044">
      <w:pPr>
        <w:spacing w:before="80" w:after="80"/>
      </w:pPr>
      <w:r>
        <w:t>____________________________________________________________________________________________________________</w:t>
      </w:r>
    </w:p>
    <w:p w14:paraId="75489CAD" w14:textId="77777777" w:rsidR="0025534A" w:rsidRDefault="001F7044">
      <w:pPr>
        <w:spacing w:before="80" w:after="80"/>
      </w:pPr>
      <w:r>
        <w:t>____________________________________________________________________________________________________________</w:t>
      </w:r>
    </w:p>
    <w:p w14:paraId="7DAF9B25" w14:textId="77777777" w:rsidR="0025534A" w:rsidRDefault="001F7044">
      <w:pPr>
        <w:pStyle w:val="Heading3"/>
        <w:spacing w:before="220" w:after="100"/>
      </w:pPr>
      <w:r>
        <w:rPr>
          <w:b/>
          <w:bCs/>
        </w:rPr>
        <w:t>One argument I heard from another table that I want to bring back to my function:</w:t>
      </w:r>
    </w:p>
    <w:p w14:paraId="54DFD5D9" w14:textId="77777777" w:rsidR="0025534A" w:rsidRDefault="001F7044">
      <w:pPr>
        <w:spacing w:before="80" w:after="80"/>
      </w:pPr>
      <w:r>
        <w:t>____________________________________________________________________________________________________________</w:t>
      </w:r>
    </w:p>
    <w:p w14:paraId="2A1BC5F7" w14:textId="77777777" w:rsidR="0025534A" w:rsidRDefault="001F7044">
      <w:pPr>
        <w:spacing w:before="80" w:after="80"/>
      </w:pPr>
      <w:r>
        <w:t>____________________________________________________________________________________________________________</w:t>
      </w:r>
    </w:p>
    <w:p w14:paraId="0686704C" w14:textId="77777777" w:rsidR="0025534A" w:rsidRDefault="001F7044">
      <w:pPr>
        <w:spacing w:before="80" w:after="80"/>
      </w:pPr>
      <w:r>
        <w:t>____________________________________________________________________________________________________________</w:t>
      </w:r>
    </w:p>
    <w:p w14:paraId="6E8EC5BC" w14:textId="77777777" w:rsidR="0025534A" w:rsidRDefault="001F7044">
      <w:pPr>
        <w:pStyle w:val="Heading3"/>
        <w:spacing w:before="220" w:after="100"/>
      </w:pPr>
      <w:r>
        <w:rPr>
          <w:b/>
          <w:bCs/>
        </w:rPr>
        <w:t xml:space="preserve">One question I want to start asking in my </w:t>
      </w:r>
      <w:proofErr w:type="spellStart"/>
      <w:r>
        <w:rPr>
          <w:b/>
          <w:bCs/>
        </w:rPr>
        <w:t>ExCo</w:t>
      </w:r>
      <w:proofErr w:type="spellEnd"/>
      <w:r>
        <w:rPr>
          <w:b/>
          <w:bCs/>
        </w:rPr>
        <w:t xml:space="preserve"> meetings:</w:t>
      </w:r>
    </w:p>
    <w:p w14:paraId="7644AAFD" w14:textId="77777777" w:rsidR="0025534A" w:rsidRDefault="001F7044">
      <w:pPr>
        <w:spacing w:before="80" w:after="80"/>
      </w:pPr>
      <w:r>
        <w:t>____________________________________________________________________________________________________________</w:t>
      </w:r>
    </w:p>
    <w:p w14:paraId="4360A91E" w14:textId="77777777" w:rsidR="0025534A" w:rsidRDefault="001F7044">
      <w:pPr>
        <w:spacing w:before="80" w:after="80"/>
      </w:pPr>
      <w:r>
        <w:t>____________________________________________________________________________________________________________</w:t>
      </w:r>
    </w:p>
    <w:sectPr w:rsidR="002553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22F82"/>
    <w:multiLevelType w:val="hybridMultilevel"/>
    <w:tmpl w:val="7E6A47D4"/>
    <w:lvl w:ilvl="0" w:tplc="E530253A">
      <w:start w:val="1"/>
      <w:numFmt w:val="bullet"/>
      <w:lvlText w:val="●"/>
      <w:lvlJc w:val="left"/>
      <w:pPr>
        <w:ind w:left="720" w:hanging="360"/>
      </w:pPr>
    </w:lvl>
    <w:lvl w:ilvl="1" w:tplc="9E56B3F4">
      <w:start w:val="1"/>
      <w:numFmt w:val="bullet"/>
      <w:lvlText w:val="○"/>
      <w:lvlJc w:val="left"/>
      <w:pPr>
        <w:ind w:left="1440" w:hanging="360"/>
      </w:pPr>
    </w:lvl>
    <w:lvl w:ilvl="2" w:tplc="0876F844">
      <w:start w:val="1"/>
      <w:numFmt w:val="bullet"/>
      <w:lvlText w:val="■"/>
      <w:lvlJc w:val="left"/>
      <w:pPr>
        <w:ind w:left="2160" w:hanging="360"/>
      </w:pPr>
    </w:lvl>
    <w:lvl w:ilvl="3" w:tplc="E324998E">
      <w:start w:val="1"/>
      <w:numFmt w:val="bullet"/>
      <w:lvlText w:val="●"/>
      <w:lvlJc w:val="left"/>
      <w:pPr>
        <w:ind w:left="2880" w:hanging="360"/>
      </w:pPr>
    </w:lvl>
    <w:lvl w:ilvl="4" w:tplc="417A6930">
      <w:start w:val="1"/>
      <w:numFmt w:val="bullet"/>
      <w:lvlText w:val="○"/>
      <w:lvlJc w:val="left"/>
      <w:pPr>
        <w:ind w:left="3600" w:hanging="360"/>
      </w:pPr>
    </w:lvl>
    <w:lvl w:ilvl="5" w:tplc="CFDA6DC2">
      <w:start w:val="1"/>
      <w:numFmt w:val="bullet"/>
      <w:lvlText w:val="■"/>
      <w:lvlJc w:val="left"/>
      <w:pPr>
        <w:ind w:left="4320" w:hanging="360"/>
      </w:pPr>
    </w:lvl>
    <w:lvl w:ilvl="6" w:tplc="3BB27EE4">
      <w:start w:val="1"/>
      <w:numFmt w:val="bullet"/>
      <w:lvlText w:val="●"/>
      <w:lvlJc w:val="left"/>
      <w:pPr>
        <w:ind w:left="5040" w:hanging="360"/>
      </w:pPr>
    </w:lvl>
    <w:lvl w:ilvl="7" w:tplc="5FD4D32E">
      <w:start w:val="1"/>
      <w:numFmt w:val="bullet"/>
      <w:lvlText w:val="●"/>
      <w:lvlJc w:val="left"/>
      <w:pPr>
        <w:ind w:left="5760" w:hanging="360"/>
      </w:pPr>
    </w:lvl>
    <w:lvl w:ilvl="8" w:tplc="36D6F696">
      <w:start w:val="1"/>
      <w:numFmt w:val="bullet"/>
      <w:lvlText w:val="●"/>
      <w:lvlJc w:val="left"/>
      <w:pPr>
        <w:ind w:left="6480" w:hanging="360"/>
      </w:pPr>
    </w:lvl>
  </w:abstractNum>
  <w:abstractNum w:abstractNumId="1" w15:restartNumberingAfterBreak="0">
    <w:nsid w:val="390E147A"/>
    <w:multiLevelType w:val="hybridMultilevel"/>
    <w:tmpl w:val="A4BE7D70"/>
    <w:lvl w:ilvl="0" w:tplc="C1824296">
      <w:start w:val="1"/>
      <w:numFmt w:val="bullet"/>
      <w:lvlText w:val="•"/>
      <w:lvlJc w:val="left"/>
      <w:pPr>
        <w:ind w:left="720" w:hanging="360"/>
      </w:pPr>
    </w:lvl>
    <w:lvl w:ilvl="1" w:tplc="FA8C8B5A">
      <w:start w:val="1"/>
      <w:numFmt w:val="bullet"/>
      <w:lvlText w:val="◦"/>
      <w:lvlJc w:val="left"/>
      <w:pPr>
        <w:ind w:left="1440" w:hanging="360"/>
      </w:pPr>
    </w:lvl>
    <w:lvl w:ilvl="2" w:tplc="71BE08B8">
      <w:numFmt w:val="decimal"/>
      <w:lvlText w:val=""/>
      <w:lvlJc w:val="left"/>
    </w:lvl>
    <w:lvl w:ilvl="3" w:tplc="CD2E15D0">
      <w:numFmt w:val="decimal"/>
      <w:lvlText w:val=""/>
      <w:lvlJc w:val="left"/>
    </w:lvl>
    <w:lvl w:ilvl="4" w:tplc="24867E8C">
      <w:numFmt w:val="decimal"/>
      <w:lvlText w:val=""/>
      <w:lvlJc w:val="left"/>
    </w:lvl>
    <w:lvl w:ilvl="5" w:tplc="2B7A3CD6">
      <w:numFmt w:val="decimal"/>
      <w:lvlText w:val=""/>
      <w:lvlJc w:val="left"/>
    </w:lvl>
    <w:lvl w:ilvl="6" w:tplc="4E94EEC0">
      <w:numFmt w:val="decimal"/>
      <w:lvlText w:val=""/>
      <w:lvlJc w:val="left"/>
    </w:lvl>
    <w:lvl w:ilvl="7" w:tplc="C9545874">
      <w:numFmt w:val="decimal"/>
      <w:lvlText w:val=""/>
      <w:lvlJc w:val="left"/>
    </w:lvl>
    <w:lvl w:ilvl="8" w:tplc="E56ACF5E">
      <w:numFmt w:val="decimal"/>
      <w:lvlText w:val=""/>
      <w:lvlJc w:val="left"/>
    </w:lvl>
  </w:abstractNum>
  <w:num w:numId="1" w16cid:durableId="1932541196">
    <w:abstractNumId w:val="0"/>
    <w:lvlOverride w:ilvl="0">
      <w:startOverride w:val="1"/>
    </w:lvlOverride>
  </w:num>
  <w:num w:numId="2" w16cid:durableId="13227318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34A"/>
    <w:rsid w:val="001F7044"/>
    <w:rsid w:val="002372FB"/>
    <w:rsid w:val="0025534A"/>
    <w:rsid w:val="00293A1E"/>
    <w:rsid w:val="00862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D4436"/>
  <w15:docId w15:val="{55B4C21C-B06D-4AA1-83F8-9AA5F097F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2360</Words>
  <Characters>13644</Characters>
  <Application>Microsoft Office Word</Application>
  <DocSecurity>0</DocSecurity>
  <Lines>278</Lines>
  <Paragraphs>207</Paragraphs>
  <ScaleCrop>false</ScaleCrop>
  <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Allen Sanders</cp:lastModifiedBy>
  <cp:revision>3</cp:revision>
  <dcterms:created xsi:type="dcterms:W3CDTF">2026-05-18T16:08:00Z</dcterms:created>
  <dcterms:modified xsi:type="dcterms:W3CDTF">2026-05-18T20:15:00Z</dcterms:modified>
</cp:coreProperties>
</file>