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A83E" w14:textId="55801149" w:rsidR="00A85FC4" w:rsidRDefault="00E034B7">
      <w:r>
        <w:rPr>
          <w:b/>
          <w:bCs/>
          <w:color w:val="BF8F00"/>
        </w:rPr>
        <w:t>CENTRAL</w:t>
      </w:r>
      <w:r w:rsidR="009A1813">
        <w:rPr>
          <w:b/>
          <w:bCs/>
          <w:color w:val="BF8F00"/>
        </w:rPr>
        <w:t xml:space="preserve"> </w:t>
      </w:r>
      <w:proofErr w:type="gramStart"/>
      <w:r w:rsidR="009A1813">
        <w:rPr>
          <w:b/>
          <w:bCs/>
          <w:color w:val="BF8F00"/>
        </w:rPr>
        <w:t>BRIEFING  |</w:t>
      </w:r>
      <w:proofErr w:type="gramEnd"/>
      <w:r w:rsidR="009A1813">
        <w:rPr>
          <w:b/>
          <w:bCs/>
          <w:color w:val="BF8F00"/>
        </w:rPr>
        <w:t xml:space="preserve">  CROSS-FUNCTIONAL CASE STUDY</w:t>
      </w:r>
    </w:p>
    <w:p w14:paraId="248A29BE" w14:textId="77777777" w:rsidR="00A85FC4" w:rsidRDefault="009A1813">
      <w:pPr>
        <w:spacing w:after="240"/>
      </w:pPr>
      <w:r>
        <w:rPr>
          <w:i/>
          <w:iCs/>
          <w:color w:val="595959"/>
          <w:sz w:val="20"/>
          <w:szCs w:val="20"/>
        </w:rPr>
        <w:t>Common context for all four shock scenarios</w:t>
      </w:r>
    </w:p>
    <w:p w14:paraId="637021FB" w14:textId="77777777" w:rsidR="00A85FC4" w:rsidRDefault="009A1813">
      <w:pPr>
        <w:pStyle w:val="Heading1"/>
        <w:spacing w:before="0" w:after="160"/>
      </w:pPr>
      <w:r>
        <w:t>“Decisions Under Shock”</w:t>
      </w:r>
    </w:p>
    <w:p w14:paraId="5FD490B8" w14:textId="77777777" w:rsidR="00A85FC4" w:rsidRDefault="009A1813">
      <w:pPr>
        <w:spacing w:after="240"/>
      </w:pPr>
      <w:r>
        <w:rPr>
          <w:i/>
          <w:iCs/>
          <w:color w:val="595959"/>
          <w:sz w:val="20"/>
          <w:szCs w:val="20"/>
        </w:rPr>
        <w:t>Read this document first. Your scenario card adds the specific shock you will analyze.</w:t>
      </w:r>
    </w:p>
    <w:p w14:paraId="78C0CA51" w14:textId="77777777" w:rsidR="00A85FC4" w:rsidRDefault="009A1813">
      <w:pPr>
        <w:pStyle w:val="Heading2"/>
      </w:pPr>
      <w:r>
        <w:t>The Setup</w:t>
      </w:r>
    </w:p>
    <w:p w14:paraId="171E7FB6" w14:textId="77777777" w:rsidR="00A85FC4" w:rsidRDefault="009A1813">
      <w:pPr>
        <w:spacing w:before="80" w:after="80"/>
      </w:pPr>
      <w:r>
        <w:t xml:space="preserve">You sit on the GKFG executive committee. A shock has occurred. The board chair has called a session of the Risk &amp; Strategy Committee for tomorrow morning. You have until then to </w:t>
      </w:r>
      <w:proofErr w:type="gramStart"/>
      <w:r>
        <w:t>bring</w:t>
      </w:r>
      <w:proofErr w:type="gramEnd"/>
      <w:r>
        <w:t xml:space="preserve"> a recommendation.</w:t>
      </w:r>
    </w:p>
    <w:p w14:paraId="08162D61" w14:textId="77777777" w:rsidR="00A85FC4" w:rsidRDefault="009A1813">
      <w:pPr>
        <w:spacing w:before="80" w:after="80"/>
      </w:pPr>
      <w:r>
        <w:t xml:space="preserve">Your charge is to integrate signals across First Global Bank (Banking &amp; Investments), GK General Insurance (Insurance), and GraceKennedy Money Services / GK One (Money </w:t>
      </w:r>
      <w:proofErr w:type="gramStart"/>
      <w:r>
        <w:t>Services) —</w:t>
      </w:r>
      <w:proofErr w:type="gramEnd"/>
      <w:r>
        <w:t xml:space="preserve"> and reach a decision: Expand, Hold, or Contract on a specific strategic position. You must also state the conditions under which you would change your decision — specifically and quantitatively where possible.</w:t>
      </w:r>
    </w:p>
    <w:p w14:paraId="55D7A7EC" w14:textId="77777777" w:rsidR="00A85FC4" w:rsidRDefault="009A1813">
      <w:pPr>
        <w:spacing w:before="80" w:after="80"/>
      </w:pPr>
      <w:r>
        <w:t xml:space="preserve">There is no “right” answer. There are well-defended answers and </w:t>
      </w:r>
      <w:proofErr w:type="gramStart"/>
      <w:r>
        <w:t>poorly-defended</w:t>
      </w:r>
      <w:proofErr w:type="gramEnd"/>
      <w:r>
        <w:t xml:space="preserve"> answers.</w:t>
      </w:r>
    </w:p>
    <w:p w14:paraId="4D51DFBA" w14:textId="77777777" w:rsidR="00A85FC4" w:rsidRDefault="009A1813">
      <w:pPr>
        <w:pStyle w:val="Heading2"/>
      </w:pPr>
      <w:r>
        <w:t>The Decision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85FC4" w14:paraId="779E9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0B7FD" w14:textId="77777777" w:rsidR="00A85FC4" w:rsidRDefault="009A1813">
            <w:r>
              <w:rPr>
                <w:b/>
                <w:bCs/>
              </w:rPr>
              <w:t>1. Diagnose the shock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F4173" w14:textId="77777777" w:rsidR="00A85FC4" w:rsidRDefault="009A1813">
            <w:r>
              <w:t>What kind of shock is this? Geographic? Geopolitical? Regulatory? Operational? Each demands a different data move.</w:t>
            </w:r>
          </w:p>
        </w:tc>
      </w:tr>
      <w:tr w:rsidR="00A85FC4" w14:paraId="5636F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775B1" w14:textId="77777777" w:rsidR="00A85FC4" w:rsidRDefault="009A1813">
            <w:r>
              <w:rPr>
                <w:b/>
                <w:bCs/>
              </w:rPr>
              <w:t>2. Read across SBUs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ABCBA" w14:textId="77777777" w:rsidR="00A85FC4" w:rsidRDefault="009A1813">
            <w:r>
              <w:t>Identify the three most decision-relevant data points across FGB, GKGI, and GKMS / GK One. At least one from each.</w:t>
            </w:r>
          </w:p>
        </w:tc>
      </w:tr>
      <w:tr w:rsidR="00A85FC4" w14:paraId="2732B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5DF48" w14:textId="77777777" w:rsidR="00A85FC4" w:rsidRDefault="009A1813">
            <w:r>
              <w:rPr>
                <w:b/>
                <w:bCs/>
              </w:rPr>
              <w:t>3. Surface assumptions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37EC3" w14:textId="77777777" w:rsidR="00A85FC4" w:rsidRDefault="009A1813">
            <w:r>
              <w:t>State the two strongest assumptions your recommendation rests on. Make them visible.</w:t>
            </w:r>
          </w:p>
        </w:tc>
      </w:tr>
      <w:tr w:rsidR="00A85FC4" w14:paraId="19CC7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9CECD" w14:textId="77777777" w:rsidR="00A85FC4" w:rsidRDefault="009A1813">
            <w:r>
              <w:rPr>
                <w:b/>
                <w:bCs/>
              </w:rPr>
              <w:t>4. Make the call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F79B1" w14:textId="77777777" w:rsidR="00A85FC4" w:rsidRDefault="009A1813">
            <w:r>
              <w:t>Recommend: Expand, Hold, or Contract on the strategic position your scenario poses.</w:t>
            </w:r>
          </w:p>
        </w:tc>
      </w:tr>
      <w:tr w:rsidR="00A85FC4" w14:paraId="5180A9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07A78" w14:textId="77777777" w:rsidR="00A85FC4" w:rsidRDefault="009A1813">
            <w:r>
              <w:rPr>
                <w:b/>
                <w:bCs/>
              </w:rPr>
              <w:t xml:space="preserve">5. Define the </w:t>
            </w:r>
            <w:proofErr w:type="gramStart"/>
            <w:r>
              <w:rPr>
                <w:b/>
                <w:bCs/>
              </w:rPr>
              <w:t>trip-wires</w:t>
            </w:r>
            <w:proofErr w:type="gram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733F2" w14:textId="77777777" w:rsidR="00A85FC4" w:rsidRDefault="009A1813">
            <w:r>
              <w:t>State the conditions under which you would change your decision. Be specific. “If X exceeds Y by date Z, we move to W.”</w:t>
            </w:r>
          </w:p>
        </w:tc>
      </w:tr>
    </w:tbl>
    <w:p w14:paraId="4FEF89C4" w14:textId="77777777" w:rsidR="00A85FC4" w:rsidRDefault="009A1813">
      <w:pPr>
        <w:pStyle w:val="Heading2"/>
      </w:pPr>
      <w:r>
        <w:t>The Data You Have Access To</w:t>
      </w:r>
    </w:p>
    <w:p w14:paraId="33850AA2" w14:textId="77777777" w:rsidR="00A85FC4" w:rsidRDefault="009A1813">
      <w:pPr>
        <w:spacing w:before="80" w:after="80"/>
      </w:pPr>
      <w:r>
        <w:rPr>
          <w:i/>
          <w:iCs/>
        </w:rPr>
        <w:t>You do not have a complete dataset. You have data sketches across four GKFG domains. Each scenario will pull on these differently.</w:t>
      </w:r>
    </w:p>
    <w:p w14:paraId="11F5A7F2" w14:textId="77777777" w:rsidR="00A85FC4" w:rsidRDefault="009A1813">
      <w:pPr>
        <w:pStyle w:val="Heading3"/>
      </w:pPr>
      <w:r>
        <w:t>First Global Bank (</w:t>
      </w:r>
      <w:proofErr w:type="gramStart"/>
      <w:r>
        <w:t>FGB) —</w:t>
      </w:r>
      <w:proofErr w:type="gramEnd"/>
      <w:r>
        <w:t xml:space="preserve"> Banking &amp; Investments</w:t>
      </w:r>
    </w:p>
    <w:p w14:paraId="1838A025" w14:textId="77777777" w:rsidR="00A85FC4" w:rsidRDefault="009A1813">
      <w:pPr>
        <w:pStyle w:val="ListParagraph"/>
        <w:numPr>
          <w:ilvl w:val="0"/>
          <w:numId w:val="2"/>
        </w:numPr>
      </w:pPr>
      <w:r>
        <w:t>Loan book composition by parish, by sector (transport, retail, agriculture, services), by tenure of borrower</w:t>
      </w:r>
    </w:p>
    <w:p w14:paraId="4F646BE1" w14:textId="77777777" w:rsidR="00A85FC4" w:rsidRDefault="009A1813">
      <w:pPr>
        <w:pStyle w:val="ListParagraph"/>
        <w:numPr>
          <w:ilvl w:val="0"/>
          <w:numId w:val="2"/>
        </w:numPr>
      </w:pPr>
      <w:r>
        <w:t>Non-performing loan (NPL) rates by parish, by sector, by tenure</w:t>
      </w:r>
    </w:p>
    <w:p w14:paraId="5A8B78AB" w14:textId="77777777" w:rsidR="00A85FC4" w:rsidRDefault="009A1813">
      <w:pPr>
        <w:pStyle w:val="ListParagraph"/>
        <w:numPr>
          <w:ilvl w:val="0"/>
          <w:numId w:val="2"/>
        </w:numPr>
      </w:pPr>
      <w:r>
        <w:t>Foreign-currency clearing volume and counterparty concentration</w:t>
      </w:r>
    </w:p>
    <w:p w14:paraId="33A12179" w14:textId="77777777" w:rsidR="00A85FC4" w:rsidRDefault="009A1813">
      <w:pPr>
        <w:pStyle w:val="ListParagraph"/>
        <w:numPr>
          <w:ilvl w:val="0"/>
          <w:numId w:val="2"/>
        </w:numPr>
      </w:pPr>
      <w:r>
        <w:t>Branch operational status, transaction throughput, digital adoption (Global Access)</w:t>
      </w:r>
    </w:p>
    <w:p w14:paraId="478DE145" w14:textId="77777777" w:rsidR="00A85FC4" w:rsidRDefault="009A1813">
      <w:pPr>
        <w:pStyle w:val="ListParagraph"/>
        <w:numPr>
          <w:ilvl w:val="0"/>
          <w:numId w:val="2"/>
        </w:numPr>
      </w:pPr>
      <w:r>
        <w:t>New loan demand pipeline by sector and geography</w:t>
      </w:r>
    </w:p>
    <w:p w14:paraId="2907E464" w14:textId="77777777" w:rsidR="00A85FC4" w:rsidRDefault="009A1813">
      <w:pPr>
        <w:pStyle w:val="Heading3"/>
      </w:pPr>
      <w:r>
        <w:t>GK General Insurance (</w:t>
      </w:r>
      <w:proofErr w:type="gramStart"/>
      <w:r>
        <w:t>GKGI) —</w:t>
      </w:r>
      <w:proofErr w:type="gramEnd"/>
      <w:r>
        <w:t xml:space="preserve"> Insurance</w:t>
      </w:r>
    </w:p>
    <w:p w14:paraId="2ED19F61" w14:textId="77777777" w:rsidR="00A85FC4" w:rsidRDefault="009A1813">
      <w:pPr>
        <w:pStyle w:val="ListParagraph"/>
        <w:numPr>
          <w:ilvl w:val="0"/>
          <w:numId w:val="2"/>
        </w:numPr>
      </w:pPr>
      <w:r>
        <w:t>Motor and property portfolio mix by parish and by line</w:t>
      </w:r>
    </w:p>
    <w:p w14:paraId="3ADC17EB" w14:textId="77777777" w:rsidR="00A85FC4" w:rsidRDefault="009A1813">
      <w:pPr>
        <w:pStyle w:val="ListParagraph"/>
        <w:numPr>
          <w:ilvl w:val="0"/>
          <w:numId w:val="2"/>
        </w:numPr>
      </w:pPr>
      <w:r>
        <w:t>Combined ratio by quarter (with and without catastrophe events)</w:t>
      </w:r>
    </w:p>
    <w:p w14:paraId="288E5762" w14:textId="77777777" w:rsidR="00A85FC4" w:rsidRDefault="009A1813">
      <w:pPr>
        <w:pStyle w:val="ListParagraph"/>
        <w:numPr>
          <w:ilvl w:val="0"/>
          <w:numId w:val="2"/>
        </w:numPr>
      </w:pPr>
      <w:r>
        <w:t>Claims volume, claims settlement velocity, open-claim aging</w:t>
      </w:r>
    </w:p>
    <w:p w14:paraId="77BB093D" w14:textId="77777777" w:rsidR="00A85FC4" w:rsidRDefault="009A1813">
      <w:pPr>
        <w:pStyle w:val="ListParagraph"/>
        <w:numPr>
          <w:ilvl w:val="0"/>
          <w:numId w:val="2"/>
        </w:numPr>
      </w:pPr>
      <w:r>
        <w:lastRenderedPageBreak/>
        <w:t>Reinsurance program structure and current reinsurance pricing</w:t>
      </w:r>
    </w:p>
    <w:p w14:paraId="5D5E63AB" w14:textId="77777777" w:rsidR="00A85FC4" w:rsidRDefault="009A1813">
      <w:pPr>
        <w:pStyle w:val="ListParagraph"/>
        <w:numPr>
          <w:ilvl w:val="0"/>
          <w:numId w:val="2"/>
        </w:numPr>
      </w:pPr>
      <w:r>
        <w:t>Concentration exposure by parish, by line, by customer segment</w:t>
      </w:r>
    </w:p>
    <w:p w14:paraId="0922705D" w14:textId="77777777" w:rsidR="00A85FC4" w:rsidRDefault="009A1813">
      <w:pPr>
        <w:pStyle w:val="Heading3"/>
      </w:pPr>
      <w:r>
        <w:t>GraceKennedy Money Services / GK One — Money Services</w:t>
      </w:r>
    </w:p>
    <w:p w14:paraId="093D6014" w14:textId="77777777" w:rsidR="00A85FC4" w:rsidRDefault="009A1813">
      <w:pPr>
        <w:pStyle w:val="ListParagraph"/>
        <w:numPr>
          <w:ilvl w:val="0"/>
          <w:numId w:val="2"/>
        </w:numPr>
      </w:pPr>
      <w:r>
        <w:t>Remittance corridor volume by origin/destination market</w:t>
      </w:r>
    </w:p>
    <w:p w14:paraId="129B8CE6" w14:textId="77777777" w:rsidR="00A85FC4" w:rsidRDefault="009A1813">
      <w:pPr>
        <w:pStyle w:val="ListParagraph"/>
        <w:numPr>
          <w:ilvl w:val="0"/>
          <w:numId w:val="2"/>
        </w:numPr>
      </w:pPr>
      <w:r>
        <w:t>Digital adoption rate (GK One) by market and customer cohort</w:t>
      </w:r>
    </w:p>
    <w:p w14:paraId="74791EC8" w14:textId="77777777" w:rsidR="00A85FC4" w:rsidRDefault="009A1813">
      <w:pPr>
        <w:pStyle w:val="ListParagraph"/>
        <w:numPr>
          <w:ilvl w:val="0"/>
          <w:numId w:val="2"/>
        </w:numPr>
      </w:pPr>
      <w:r>
        <w:t>In-person vs. digital margin profile</w:t>
      </w:r>
    </w:p>
    <w:p w14:paraId="659EC694" w14:textId="77777777" w:rsidR="00A85FC4" w:rsidRDefault="009A1813">
      <w:pPr>
        <w:pStyle w:val="ListParagraph"/>
        <w:numPr>
          <w:ilvl w:val="0"/>
          <w:numId w:val="2"/>
        </w:numPr>
      </w:pPr>
      <w:r>
        <w:t>Correspondent banking relationships and corridor concentration</w:t>
      </w:r>
    </w:p>
    <w:p w14:paraId="17351993" w14:textId="77777777" w:rsidR="00A85FC4" w:rsidRDefault="009A1813">
      <w:pPr>
        <w:pStyle w:val="ListParagraph"/>
        <w:numPr>
          <w:ilvl w:val="0"/>
          <w:numId w:val="2"/>
        </w:numPr>
      </w:pPr>
      <w:r>
        <w:t>Average remittance velocity per account by market</w:t>
      </w:r>
    </w:p>
    <w:p w14:paraId="6B22CEE7" w14:textId="77777777" w:rsidR="00A85FC4" w:rsidRDefault="009A1813">
      <w:pPr>
        <w:pStyle w:val="Heading3"/>
      </w:pPr>
      <w:r>
        <w:t>Cross-cutting</w:t>
      </w:r>
    </w:p>
    <w:p w14:paraId="31685E18" w14:textId="77777777" w:rsidR="00A85FC4" w:rsidRDefault="009A1813">
      <w:pPr>
        <w:pStyle w:val="ListParagraph"/>
        <w:numPr>
          <w:ilvl w:val="0"/>
          <w:numId w:val="2"/>
        </w:numPr>
      </w:pPr>
      <w:r>
        <w:t>Workforce availability and attrition by function</w:t>
      </w:r>
    </w:p>
    <w:p w14:paraId="0BEE8109" w14:textId="77777777" w:rsidR="00A85FC4" w:rsidRDefault="009A1813">
      <w:pPr>
        <w:pStyle w:val="ListParagraph"/>
        <w:numPr>
          <w:ilvl w:val="0"/>
          <w:numId w:val="2"/>
        </w:numPr>
      </w:pPr>
      <w:r>
        <w:t>Customer affiliation map (single-SBU vs. multi-SBU customers)</w:t>
      </w:r>
    </w:p>
    <w:p w14:paraId="57D8E03A" w14:textId="77777777" w:rsidR="00A85FC4" w:rsidRDefault="009A1813">
      <w:pPr>
        <w:pStyle w:val="ListParagraph"/>
        <w:numPr>
          <w:ilvl w:val="0"/>
          <w:numId w:val="2"/>
        </w:numPr>
      </w:pPr>
      <w:r>
        <w:t>Cross-SBU customer concentration</w:t>
      </w:r>
    </w:p>
    <w:p w14:paraId="361F067C" w14:textId="77777777" w:rsidR="00A85FC4" w:rsidRDefault="009A1813">
      <w:pPr>
        <w:pStyle w:val="Heading2"/>
      </w:pPr>
      <w:r>
        <w:t>How You Will Be Evaluated (and How You Should Evaluate Yourselves)</w:t>
      </w:r>
    </w:p>
    <w:p w14:paraId="5F488EB9" w14:textId="77777777" w:rsidR="00A85FC4" w:rsidRDefault="009A1813">
      <w:pPr>
        <w:pStyle w:val="ListParagraph"/>
        <w:numPr>
          <w:ilvl w:val="0"/>
          <w:numId w:val="2"/>
        </w:numPr>
      </w:pPr>
      <w:r>
        <w:t>Did you integrate all three SBUs — not just one?</w:t>
      </w:r>
    </w:p>
    <w:p w14:paraId="7D983A93" w14:textId="77777777" w:rsidR="00A85FC4" w:rsidRDefault="009A1813">
      <w:pPr>
        <w:pStyle w:val="ListParagraph"/>
        <w:numPr>
          <w:ilvl w:val="0"/>
          <w:numId w:val="2"/>
        </w:numPr>
      </w:pPr>
      <w:r>
        <w:t>Did you make your assumptions visible?</w:t>
      </w:r>
    </w:p>
    <w:p w14:paraId="540C24C5" w14:textId="77777777" w:rsidR="00A85FC4" w:rsidRDefault="009A1813">
      <w:pPr>
        <w:pStyle w:val="ListParagraph"/>
        <w:numPr>
          <w:ilvl w:val="0"/>
          <w:numId w:val="2"/>
        </w:numPr>
      </w:pPr>
      <w:r>
        <w:t xml:space="preserve">Did you define the </w:t>
      </w:r>
      <w:proofErr w:type="gramStart"/>
      <w:r>
        <w:t>trip-wires</w:t>
      </w:r>
      <w:proofErr w:type="gramEnd"/>
      <w:r>
        <w:t xml:space="preserve"> for changing your decision — specifically?</w:t>
      </w:r>
    </w:p>
    <w:p w14:paraId="70EB6DB5" w14:textId="77777777" w:rsidR="00A85FC4" w:rsidRDefault="009A1813">
      <w:pPr>
        <w:pStyle w:val="ListParagraph"/>
        <w:numPr>
          <w:ilvl w:val="0"/>
          <w:numId w:val="2"/>
        </w:numPr>
      </w:pPr>
      <w:r>
        <w:t>Did you reach for the “right” answer, or did you defend a defensible answer?</w:t>
      </w:r>
    </w:p>
    <w:p w14:paraId="12DCB849" w14:textId="77777777" w:rsidR="00A85FC4" w:rsidRDefault="009A1813">
      <w:pPr>
        <w:pStyle w:val="ListParagraph"/>
        <w:numPr>
          <w:ilvl w:val="0"/>
          <w:numId w:val="2"/>
        </w:numPr>
      </w:pPr>
      <w:r>
        <w:t>Could a sharp Chief Risk Officer cross-examine your reasoning and find it durable?</w:t>
      </w:r>
    </w:p>
    <w:p w14:paraId="389681FE" w14:textId="77777777" w:rsidR="00A85FC4" w:rsidRDefault="009A1813">
      <w:pPr>
        <w:pStyle w:val="Heading2"/>
      </w:pPr>
      <w:r>
        <w:t>Sensitivity Note</w:t>
      </w:r>
    </w:p>
    <w:p w14:paraId="0105ACF7" w14:textId="77777777" w:rsidR="00A85FC4" w:rsidRDefault="009A1813">
      <w:pPr>
        <w:spacing w:before="80" w:after="80"/>
      </w:pPr>
      <w:r>
        <w:t xml:space="preserve">Each scenario is built to feel real. Some touch on contexts — disasters, geopolitical conflict, regulatory de-risking, operational outages — that have caused or could cause genuine hardship in the markets GKFG serves. </w:t>
      </w:r>
      <w:proofErr w:type="gramStart"/>
      <w:r>
        <w:t>The exercise</w:t>
      </w:r>
      <w:proofErr w:type="gramEnd"/>
      <w:r>
        <w:t xml:space="preserve"> is not about extracting </w:t>
      </w:r>
      <w:proofErr w:type="gramStart"/>
      <w:r>
        <w:t>advantage</w:t>
      </w:r>
      <w:proofErr w:type="gramEnd"/>
      <w:r>
        <w:t xml:space="preserve"> from hardship. It is about how a financial group fulfills its obligations to shareholders, customers, and communities while making rigorous, risk-aware decisions under pressure.</w:t>
      </w:r>
    </w:p>
    <w:p w14:paraId="51C94257" w14:textId="77777777" w:rsidR="00A85FC4" w:rsidRDefault="009A1813">
      <w:pPr>
        <w:pStyle w:val="Heading2"/>
      </w:pPr>
      <w:r>
        <w:t>What Happens Next</w:t>
      </w:r>
    </w:p>
    <w:p w14:paraId="3102EFCE" w14:textId="1FC77ABD" w:rsidR="00A85FC4" w:rsidRDefault="009A1813">
      <w:pPr>
        <w:spacing w:before="80" w:after="80"/>
      </w:pPr>
      <w:r>
        <w:t xml:space="preserve">You have 25 minutes of table work, then 3–4 minutes to present back. Nominate one presenter. Capture your reasoning on the worksheet. Use the </w:t>
      </w:r>
      <w:r w:rsidR="00E034B7">
        <w:t xml:space="preserve">Central </w:t>
      </w:r>
      <w:r>
        <w:t>Briefing as your shared context, and the Scenario Card as your specific charge. Begin when the trainer signals.</w:t>
      </w:r>
    </w:p>
    <w:sectPr w:rsidR="00A85F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6474" w14:textId="77777777" w:rsidR="009A1813" w:rsidRDefault="009A1813">
      <w:r>
        <w:separator/>
      </w:r>
    </w:p>
  </w:endnote>
  <w:endnote w:type="continuationSeparator" w:id="0">
    <w:p w14:paraId="03A096BD" w14:textId="77777777" w:rsidR="009A1813" w:rsidRDefault="009A1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BCED" w14:textId="77777777" w:rsidR="00A85FC4" w:rsidRDefault="009A1813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034B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617D" w14:textId="77777777" w:rsidR="009A1813" w:rsidRDefault="009A1813">
      <w:r>
        <w:separator/>
      </w:r>
    </w:p>
  </w:footnote>
  <w:footnote w:type="continuationSeparator" w:id="0">
    <w:p w14:paraId="2E1C8143" w14:textId="77777777" w:rsidR="009A1813" w:rsidRDefault="009A1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47B0D" w14:textId="77777777" w:rsidR="00A85FC4" w:rsidRDefault="009A1813">
    <w:pPr>
      <w:jc w:val="right"/>
    </w:pPr>
    <w:r>
      <w:rPr>
        <w:color w:val="595959"/>
        <w:sz w:val="18"/>
        <w:szCs w:val="18"/>
      </w:rPr>
      <w:t xml:space="preserve">GKFG DDDM </w:t>
    </w:r>
    <w:proofErr w:type="gramStart"/>
    <w:r>
      <w:rPr>
        <w:color w:val="595959"/>
        <w:sz w:val="18"/>
        <w:szCs w:val="18"/>
      </w:rPr>
      <w:t>Program  |</w:t>
    </w:r>
    <w:proofErr w:type="gramEnd"/>
    <w:r>
      <w:rPr>
        <w:color w:val="595959"/>
        <w:sz w:val="18"/>
        <w:szCs w:val="18"/>
      </w:rPr>
      <w:t xml:space="preserve">  Module 9 — “Decisions Under Shock”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4FBE"/>
    <w:multiLevelType w:val="hybridMultilevel"/>
    <w:tmpl w:val="E6FCE132"/>
    <w:lvl w:ilvl="0" w:tplc="FBC8BEBA">
      <w:start w:val="1"/>
      <w:numFmt w:val="bullet"/>
      <w:lvlText w:val="●"/>
      <w:lvlJc w:val="left"/>
      <w:pPr>
        <w:ind w:left="720" w:hanging="360"/>
      </w:pPr>
    </w:lvl>
    <w:lvl w:ilvl="1" w:tplc="9168E51A">
      <w:start w:val="1"/>
      <w:numFmt w:val="bullet"/>
      <w:lvlText w:val="○"/>
      <w:lvlJc w:val="left"/>
      <w:pPr>
        <w:ind w:left="1440" w:hanging="360"/>
      </w:pPr>
    </w:lvl>
    <w:lvl w:ilvl="2" w:tplc="BA2A75EC">
      <w:start w:val="1"/>
      <w:numFmt w:val="bullet"/>
      <w:lvlText w:val="■"/>
      <w:lvlJc w:val="left"/>
      <w:pPr>
        <w:ind w:left="2160" w:hanging="360"/>
      </w:pPr>
    </w:lvl>
    <w:lvl w:ilvl="3" w:tplc="4AF867A4">
      <w:start w:val="1"/>
      <w:numFmt w:val="bullet"/>
      <w:lvlText w:val="●"/>
      <w:lvlJc w:val="left"/>
      <w:pPr>
        <w:ind w:left="2880" w:hanging="360"/>
      </w:pPr>
    </w:lvl>
    <w:lvl w:ilvl="4" w:tplc="92925EE8">
      <w:start w:val="1"/>
      <w:numFmt w:val="bullet"/>
      <w:lvlText w:val="○"/>
      <w:lvlJc w:val="left"/>
      <w:pPr>
        <w:ind w:left="3600" w:hanging="360"/>
      </w:pPr>
    </w:lvl>
    <w:lvl w:ilvl="5" w:tplc="6090067A">
      <w:start w:val="1"/>
      <w:numFmt w:val="bullet"/>
      <w:lvlText w:val="■"/>
      <w:lvlJc w:val="left"/>
      <w:pPr>
        <w:ind w:left="4320" w:hanging="360"/>
      </w:pPr>
    </w:lvl>
    <w:lvl w:ilvl="6" w:tplc="EECCB094">
      <w:start w:val="1"/>
      <w:numFmt w:val="bullet"/>
      <w:lvlText w:val="●"/>
      <w:lvlJc w:val="left"/>
      <w:pPr>
        <w:ind w:left="5040" w:hanging="360"/>
      </w:pPr>
    </w:lvl>
    <w:lvl w:ilvl="7" w:tplc="A8EE4424">
      <w:start w:val="1"/>
      <w:numFmt w:val="bullet"/>
      <w:lvlText w:val="●"/>
      <w:lvlJc w:val="left"/>
      <w:pPr>
        <w:ind w:left="5760" w:hanging="360"/>
      </w:pPr>
    </w:lvl>
    <w:lvl w:ilvl="8" w:tplc="6F128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7C65A1"/>
    <w:multiLevelType w:val="hybridMultilevel"/>
    <w:tmpl w:val="3AF64B70"/>
    <w:lvl w:ilvl="0" w:tplc="652CB9BE">
      <w:start w:val="1"/>
      <w:numFmt w:val="decimal"/>
      <w:lvlText w:val="%1."/>
      <w:lvlJc w:val="left"/>
      <w:pPr>
        <w:ind w:left="720" w:hanging="360"/>
      </w:pPr>
    </w:lvl>
    <w:lvl w:ilvl="1" w:tplc="34BEEB74">
      <w:numFmt w:val="decimal"/>
      <w:lvlText w:val=""/>
      <w:lvlJc w:val="left"/>
    </w:lvl>
    <w:lvl w:ilvl="2" w:tplc="5D481CD4">
      <w:numFmt w:val="decimal"/>
      <w:lvlText w:val=""/>
      <w:lvlJc w:val="left"/>
    </w:lvl>
    <w:lvl w:ilvl="3" w:tplc="4E1C1F38">
      <w:numFmt w:val="decimal"/>
      <w:lvlText w:val=""/>
      <w:lvlJc w:val="left"/>
    </w:lvl>
    <w:lvl w:ilvl="4" w:tplc="32EE5C2E">
      <w:numFmt w:val="decimal"/>
      <w:lvlText w:val=""/>
      <w:lvlJc w:val="left"/>
    </w:lvl>
    <w:lvl w:ilvl="5" w:tplc="C50632C8">
      <w:numFmt w:val="decimal"/>
      <w:lvlText w:val=""/>
      <w:lvlJc w:val="left"/>
    </w:lvl>
    <w:lvl w:ilvl="6" w:tplc="AFBEBCB8">
      <w:numFmt w:val="decimal"/>
      <w:lvlText w:val=""/>
      <w:lvlJc w:val="left"/>
    </w:lvl>
    <w:lvl w:ilvl="7" w:tplc="61848D46">
      <w:numFmt w:val="decimal"/>
      <w:lvlText w:val=""/>
      <w:lvlJc w:val="left"/>
    </w:lvl>
    <w:lvl w:ilvl="8" w:tplc="588EC6DA">
      <w:numFmt w:val="decimal"/>
      <w:lvlText w:val=""/>
      <w:lvlJc w:val="left"/>
    </w:lvl>
  </w:abstractNum>
  <w:abstractNum w:abstractNumId="2" w15:restartNumberingAfterBreak="0">
    <w:nsid w:val="5B3D7F17"/>
    <w:multiLevelType w:val="hybridMultilevel"/>
    <w:tmpl w:val="F0BE3518"/>
    <w:lvl w:ilvl="0" w:tplc="56348622">
      <w:start w:val="1"/>
      <w:numFmt w:val="bullet"/>
      <w:lvlText w:val="•"/>
      <w:lvlJc w:val="left"/>
      <w:pPr>
        <w:ind w:left="720" w:hanging="360"/>
      </w:pPr>
    </w:lvl>
    <w:lvl w:ilvl="1" w:tplc="3794719E">
      <w:start w:val="1"/>
      <w:numFmt w:val="bullet"/>
      <w:lvlText w:val="◦"/>
      <w:lvlJc w:val="left"/>
      <w:pPr>
        <w:ind w:left="1440" w:hanging="360"/>
      </w:pPr>
    </w:lvl>
    <w:lvl w:ilvl="2" w:tplc="325C45B8">
      <w:numFmt w:val="decimal"/>
      <w:lvlText w:val=""/>
      <w:lvlJc w:val="left"/>
    </w:lvl>
    <w:lvl w:ilvl="3" w:tplc="070E1BDA">
      <w:numFmt w:val="decimal"/>
      <w:lvlText w:val=""/>
      <w:lvlJc w:val="left"/>
    </w:lvl>
    <w:lvl w:ilvl="4" w:tplc="E8F6CC6C">
      <w:numFmt w:val="decimal"/>
      <w:lvlText w:val=""/>
      <w:lvlJc w:val="left"/>
    </w:lvl>
    <w:lvl w:ilvl="5" w:tplc="020E14D8">
      <w:numFmt w:val="decimal"/>
      <w:lvlText w:val=""/>
      <w:lvlJc w:val="left"/>
    </w:lvl>
    <w:lvl w:ilvl="6" w:tplc="19EA88D2">
      <w:numFmt w:val="decimal"/>
      <w:lvlText w:val=""/>
      <w:lvlJc w:val="left"/>
    </w:lvl>
    <w:lvl w:ilvl="7" w:tplc="70B0B146">
      <w:numFmt w:val="decimal"/>
      <w:lvlText w:val=""/>
      <w:lvlJc w:val="left"/>
    </w:lvl>
    <w:lvl w:ilvl="8" w:tplc="36F251B4">
      <w:numFmt w:val="decimal"/>
      <w:lvlText w:val=""/>
      <w:lvlJc w:val="left"/>
    </w:lvl>
  </w:abstractNum>
  <w:num w:numId="1" w16cid:durableId="112406649">
    <w:abstractNumId w:val="0"/>
    <w:lvlOverride w:ilvl="0">
      <w:startOverride w:val="1"/>
    </w:lvlOverride>
  </w:num>
  <w:num w:numId="2" w16cid:durableId="5128463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FC4"/>
    <w:rsid w:val="009A1813"/>
    <w:rsid w:val="00A85FC4"/>
    <w:rsid w:val="00E034B7"/>
    <w:rsid w:val="00E6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1FCE"/>
  <w15:docId w15:val="{C8068865-CEEC-4F39-A386-1215EB8C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3447</Characters>
  <Application>Microsoft Office Word</Application>
  <DocSecurity>0</DocSecurity>
  <Lines>73</Lines>
  <Paragraphs>49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Allen Sanders</cp:lastModifiedBy>
  <cp:revision>2</cp:revision>
  <dcterms:created xsi:type="dcterms:W3CDTF">2026-05-05T02:10:00Z</dcterms:created>
  <dcterms:modified xsi:type="dcterms:W3CDTF">2026-05-05T12:30:00Z</dcterms:modified>
</cp:coreProperties>
</file>