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b/>
          <w:bCs/>
          <w:color w:val="C00000"/>
          <w:sz w:val="22"/>
          <w:szCs w:val="22"/>
        </w:rPr>
        <w:t xml:space="preserve">SCENARIO 1</w:t>
      </w:r>
    </w:p>
    <w:p>
      <w:pPr>
        <w:spacing w:after="240" w:before="0"/>
      </w:pPr>
      <w:r>
        <w:rPr>
          <w:i/>
          <w:iCs/>
          <w:color w:val="595959"/>
          <w:sz w:val="20"/>
          <w:szCs w:val="20"/>
        </w:rPr>
        <w:t xml:space="preserve">Localized natural disaster archetype</w:t>
      </w:r>
    </w:p>
    <w:p>
      <w:pPr>
        <w:pStyle w:val="Heading1"/>
        <w:spacing w:after="160" w:before="0"/>
      </w:pPr>
      <w:r>
        <w:rPr>
          <w:b/>
          <w:bCs/>
          <w:color w:val="C00000"/>
        </w:rPr>
        <w:t xml:space="preserve">Major Hurricane on the Eastern Caribbean Corridor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 SHOCK</w:t>
            </w:r>
          </w:p>
          <w:p>
            <w:pPr>
              <w:spacing w:after="80"/>
            </w:pPr>
            <w:r>
              <w:rPr>
                <w:color w:val="FFFFFF"/>
              </w:rPr>
              <w:t xml:space="preserve">A Category 4 hurricane has tracked through the Eastern Caribbean over the past 96 hours, making sustained landfall across territories where GKFG holds meaningful exposure: a mix of GKGI insurance lines, FGB lending, and GKMS remittance corridors.</w:t>
            </w:r>
          </w:p>
          <w:p>
            <w:pPr>
              <w:spacing w:after="80"/>
            </w:pPr>
            <w:r>
              <w:rPr>
                <w:color w:val="FFFFFF"/>
              </w:rPr>
              <w:t xml:space="preserve">Casualty figures are still being assessed. Property damage is widespread. Several territories have declared states of emergency. Two affected territories represent 14% combined of GKGI’s property book and 9% of FGB’s small-business lending.</w:t>
            </w:r>
          </w:p>
          <w:p>
            <w:pPr>
              <w:spacing w:after="80"/>
            </w:pPr>
            <w:r>
              <w:rPr>
                <w:color w:val="FFFFFF"/>
              </w:rPr>
              <w:t xml:space="preserve">Pre-season, GKFG had been considering accelerating small-business lending in these territories as part of the regional growth strategy. The question is whether to proceed, pause, or pull back — starting tomorrow morning.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C00000"/>
        </w:rPr>
        <w:t xml:space="preserve">Signals Reaching Your Desk</w:t>
      </w:r>
    </w:p>
    <w:p>
      <w:pPr>
        <w:spacing w:after="80" w:before="80"/>
      </w:pPr>
      <w:r>
        <w:rPr>
          <w:i/>
          <w:iCs/>
          <w:color w:val="595959"/>
        </w:rPr>
        <w:t xml:space="preserve">These are the data sketches available to you across GKFG’s SBUs. They are partial and as-of right now — not a complete picture.</w:t>
      </w:r>
    </w:p>
    <w:p>
      <w:pPr>
        <w:pStyle w:val="Heading3"/>
        <w:spacing w:after="80" w:before="180"/>
      </w:pPr>
      <w:r>
        <w:rPr>
          <w:b/>
          <w:bCs/>
          <w:color w:val="C00000"/>
        </w:rPr>
        <w:t xml:space="preserve">First Global Bank (FGB)</w:t>
      </w:r>
    </w:p>
    <w:p>
      <w:pPr>
        <w:pStyle w:val="ListParagraph"/>
        <w:numPr>
          <w:ilvl w:val="0"/>
          <w:numId w:val="2"/>
        </w:numPr>
      </w:pPr>
      <w:r>
        <w:t xml:space="preserve">Small-business loan book exposure to affected territories: 9% of total book; concentration of 14% within retail SME segment specifically.</w:t>
      </w:r>
    </w:p>
    <w:p>
      <w:pPr>
        <w:pStyle w:val="ListParagraph"/>
        <w:numPr>
          <w:ilvl w:val="0"/>
          <w:numId w:val="2"/>
        </w:numPr>
      </w:pPr>
      <w:r>
        <w:t xml:space="preserve">Pre-storm NPL rate in these territories: 3.1% (vs. 2.4% group average). Trending stable for 6 quarters.</w:t>
      </w:r>
    </w:p>
    <w:p>
      <w:pPr>
        <w:pStyle w:val="ListParagraph"/>
        <w:numPr>
          <w:ilvl w:val="0"/>
          <w:numId w:val="2"/>
        </w:numPr>
      </w:pPr>
      <w:r>
        <w:t xml:space="preserve">Loan demand pipeline in the affected territories was up 22% YoY before the storm, driven by tourism-adjacent SMEs.</w:t>
      </w:r>
    </w:p>
    <w:p>
      <w:pPr>
        <w:pStyle w:val="ListParagraph"/>
        <w:numPr>
          <w:ilvl w:val="0"/>
          <w:numId w:val="2"/>
        </w:numPr>
      </w:pPr>
      <w:r>
        <w:t xml:space="preserve">Branch operational status: 3 of 11 branches confirmed structurally damaged; 4 with no power; 4 operational on generator. Connectivity intermittent.</w:t>
      </w:r>
    </w:p>
    <w:p>
      <w:pPr>
        <w:pStyle w:val="Heading3"/>
        <w:spacing w:after="80" w:before="180"/>
      </w:pPr>
      <w:r>
        <w:rPr>
          <w:b/>
          <w:bCs/>
          <w:color w:val="C00000"/>
        </w:rPr>
        <w:t xml:space="preserve">GK General Insurance (GKGI)</w:t>
      </w:r>
    </w:p>
    <w:p>
      <w:pPr>
        <w:pStyle w:val="ListParagraph"/>
        <w:numPr>
          <w:ilvl w:val="0"/>
          <w:numId w:val="2"/>
        </w:numPr>
      </w:pPr>
      <w:r>
        <w:t xml:space="preserve">Property book concentration in affected territories: 14% of GKGI book.</w:t>
      </w:r>
    </w:p>
    <w:p>
      <w:pPr>
        <w:pStyle w:val="ListParagraph"/>
        <w:numPr>
          <w:ilvl w:val="0"/>
          <w:numId w:val="2"/>
        </w:numPr>
      </w:pPr>
      <w:r>
        <w:t xml:space="preserve">Estimated initial claims volume (early modeling): 8x normal monthly claims rate. Average claim severity: 2.4x recent average.</w:t>
      </w:r>
    </w:p>
    <w:p>
      <w:pPr>
        <w:pStyle w:val="ListParagraph"/>
        <w:numPr>
          <w:ilvl w:val="0"/>
          <w:numId w:val="2"/>
        </w:numPr>
      </w:pPr>
      <w:r>
        <w:t xml:space="preserve">Reinsurance program: in force, but reinsurance pricing for next renewal expected to harden 25–40%.</w:t>
      </w:r>
    </w:p>
    <w:p>
      <w:pPr>
        <w:pStyle w:val="ListParagraph"/>
        <w:numPr>
          <w:ilvl w:val="0"/>
          <w:numId w:val="2"/>
        </w:numPr>
      </w:pPr>
      <w:r>
        <w:t xml:space="preserve">Claims operations: surge protocol activated; staff from unaffected territories being redeployed.</w:t>
      </w:r>
    </w:p>
    <w:p>
      <w:pPr>
        <w:pStyle w:val="Heading3"/>
        <w:spacing w:after="80" w:before="180"/>
      </w:pPr>
      <w:r>
        <w:rPr>
          <w:b/>
          <w:bCs/>
          <w:color w:val="C00000"/>
        </w:rPr>
        <w:t xml:space="preserve">GraceKennedy Money Services / GK One</w:t>
      </w:r>
    </w:p>
    <w:p>
      <w:pPr>
        <w:pStyle w:val="ListParagraph"/>
        <w:numPr>
          <w:ilvl w:val="0"/>
          <w:numId w:val="2"/>
        </w:numPr>
      </w:pPr>
      <w:r>
        <w:t xml:space="preserve">Remittance inflows to affected territories typically rise 30–60% in the 90 days following major events.</w:t>
      </w:r>
    </w:p>
    <w:p>
      <w:pPr>
        <w:pStyle w:val="ListParagraph"/>
        <w:numPr>
          <w:ilvl w:val="0"/>
          <w:numId w:val="2"/>
        </w:numPr>
      </w:pPr>
      <w:r>
        <w:t xml:space="preserve">GK One adoption in affected territories: 28% of GKMS customers (vs. 42% Jamaica reference).</w:t>
      </w:r>
    </w:p>
    <w:p>
      <w:pPr>
        <w:pStyle w:val="ListParagraph"/>
        <w:numPr>
          <w:ilvl w:val="0"/>
          <w:numId w:val="2"/>
        </w:numPr>
      </w:pPr>
      <w:r>
        <w:t xml:space="preserve">Cash-out network (agents and branches) partially disrupted; digital cash-in channels operational.</w:t>
      </w:r>
    </w:p>
    <w:p>
      <w:pPr>
        <w:pStyle w:val="ListParagraph"/>
        <w:numPr>
          <w:ilvl w:val="0"/>
          <w:numId w:val="2"/>
        </w:numPr>
      </w:pPr>
      <w:r>
        <w:t xml:space="preserve">Customer service volume up 4x; corridor volumes from diaspora origins increasing hour over hour.</w:t>
      </w:r>
    </w:p>
    <w:p>
      <w:pPr>
        <w:pStyle w:val="Heading2"/>
        <w:spacing w:after="100" w:before="240"/>
      </w:pPr>
      <w:r>
        <w:rPr>
          <w:b/>
          <w:bCs/>
          <w:color w:val="C00000"/>
        </w:rPr>
        <w:t xml:space="preserve">Your Charge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E5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Should FGB accelerate, hold, or contract small-business lending in the affected territories over the next two quarters?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Define the conditions — specifically and quantitatively — under which you would change your recommendation. Consider both: (a) the immediate operational reality, and (b) the recovery curve.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By the end of your 25-minute table work, capture on your worksheet:</w:t>
      </w:r>
    </w:p>
    <w:p>
      <w:pPr>
        <w:pStyle w:val="ListParagraph"/>
        <w:numPr>
          <w:ilvl w:val="0"/>
          <w:numId w:val="3"/>
        </w:numPr>
      </w:pPr>
      <w:r>
        <w:t xml:space="preserve">Your recommendation: Expand, Hold, or Contract.</w:t>
      </w:r>
    </w:p>
    <w:p>
      <w:pPr>
        <w:pStyle w:val="ListParagraph"/>
        <w:numPr>
          <w:ilvl w:val="0"/>
          <w:numId w:val="3"/>
        </w:numPr>
      </w:pPr>
      <w:r>
        <w:t xml:space="preserve">Three decision-relevant data points (one from each SBU minimum).</w:t>
      </w:r>
    </w:p>
    <w:p>
      <w:pPr>
        <w:pStyle w:val="ListParagraph"/>
        <w:numPr>
          <w:ilvl w:val="0"/>
          <w:numId w:val="3"/>
        </w:numPr>
      </w:pPr>
      <w:r>
        <w:t xml:space="preserve">Your two strongest assumptions.</w:t>
      </w:r>
    </w:p>
    <w:p>
      <w:pPr>
        <w:pStyle w:val="ListParagraph"/>
        <w:numPr>
          <w:ilvl w:val="0"/>
          <w:numId w:val="3"/>
        </w:numPr>
      </w:pPr>
      <w:r>
        <w:t xml:space="preserve">The trip-wires — quantitative conditions that would change your call.</w:t>
      </w:r>
    </w:p>
    <w:p>
      <w:pPr>
        <w:pStyle w:val="ListParagraph"/>
        <w:numPr>
          <w:ilvl w:val="0"/>
          <w:numId w:val="3"/>
        </w:numPr>
      </w:pPr>
      <w:r>
        <w:t xml:space="preserve">Nominate one presenter for the report-out.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GKFG DDDM Program  |  Module 9 — “Decisions Under Shock”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2026-05-05T02:10:52.258Z</dcterms:created>
  <dcterms:modified xsi:type="dcterms:W3CDTF">2026-05-05T02:10:52.258Z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