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b/>
          <w:bCs/>
          <w:color w:val="C65911"/>
          <w:sz w:val="22"/>
          <w:szCs w:val="22"/>
        </w:rPr>
        <w:t xml:space="preserve">SCENARIO 2</w:t>
      </w:r>
    </w:p>
    <w:p>
      <w:pPr>
        <w:spacing w:after="240" w:before="0"/>
      </w:pPr>
      <w:r>
        <w:rPr>
          <w:i/>
          <w:iCs/>
          <w:color w:val="595959"/>
          <w:sz w:val="20"/>
          <w:szCs w:val="20"/>
        </w:rPr>
        <w:t xml:space="preserve">Geopolitical commodity shock archetype</w:t>
      </w:r>
    </w:p>
    <w:p>
      <w:pPr>
        <w:pStyle w:val="Heading1"/>
        <w:spacing w:after="160" w:before="0"/>
      </w:pPr>
      <w:r>
        <w:rPr>
          <w:b/>
          <w:bCs/>
          <w:color w:val="C65911"/>
        </w:rPr>
        <w:t xml:space="preserve">Sustained Fuel Price Spike on Geopolitical Conflict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59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 SHOCK</w:t>
            </w:r>
          </w:p>
          <w:p>
            <w:pPr>
              <w:spacing w:after="80"/>
            </w:pPr>
            <w:r>
              <w:rPr>
                <w:color w:val="FFFFFF"/>
              </w:rPr>
              <w:t xml:space="preserve">An armed conflict involving a major oil-producing region has driven global crude prices up 58% over six weeks. Caribbean fuel-importing economies are absorbing rapid pass-through to retail prices. Forecasters now expect elevated prices to persist for 9–18 months.</w:t>
            </w:r>
          </w:p>
          <w:p>
            <w:pPr>
              <w:spacing w:after="80"/>
            </w:pPr>
            <w:r>
              <w:rPr>
                <w:color w:val="FFFFFF"/>
              </w:rPr>
              <w:t xml:space="preserve">Transport, distribution, and tourism sectors face sharp margin compression. Government fuel subsidies in two GKFG territories are reportedly under review. Diaspora remittance volumes are expected to soften as origin-market households face their own cost-of-living pressure.</w:t>
            </w:r>
          </w:p>
          <w:p>
            <w:pPr>
              <w:spacing w:after="80"/>
            </w:pPr>
            <w:r>
              <w:rPr>
                <w:color w:val="FFFFFF"/>
              </w:rPr>
              <w:t xml:space="preserve">GKFG had been considering an expansion of the SME lending program targeting transport and logistics businesses. The question is whether to proceed, hold, or contract — and what to do about the existing exposure already in the book.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C65911"/>
        </w:rPr>
        <w:t xml:space="preserve">Signals Reaching Your Desk</w:t>
      </w:r>
    </w:p>
    <w:p>
      <w:pPr>
        <w:spacing w:after="80" w:before="80"/>
      </w:pPr>
      <w:r>
        <w:rPr>
          <w:i/>
          <w:iCs/>
          <w:color w:val="595959"/>
        </w:rPr>
        <w:t xml:space="preserve">These are the data sketches available to you across GKFG’s SBUs. They are partial and as-of right now — not a complete picture.</w:t>
      </w:r>
    </w:p>
    <w:p>
      <w:pPr>
        <w:pStyle w:val="Heading3"/>
        <w:spacing w:after="80" w:before="180"/>
      </w:pPr>
      <w:r>
        <w:rPr>
          <w:b/>
          <w:bCs/>
          <w:color w:val="C65911"/>
        </w:rPr>
        <w:t xml:space="preserve">First Global Bank (FGB)</w:t>
      </w:r>
    </w:p>
    <w:p>
      <w:pPr>
        <w:pStyle w:val="ListParagraph"/>
        <w:numPr>
          <w:ilvl w:val="0"/>
          <w:numId w:val="2"/>
        </w:numPr>
      </w:pPr>
      <w:r>
        <w:t xml:space="preserve">SME loan book concentration in transport, distribution, and tourism-adjacent sectors: 23% of book.</w:t>
      </w:r>
    </w:p>
    <w:p>
      <w:pPr>
        <w:pStyle w:val="ListParagraph"/>
        <w:numPr>
          <w:ilvl w:val="0"/>
          <w:numId w:val="2"/>
        </w:numPr>
      </w:pPr>
      <w:r>
        <w:t xml:space="preserve">Pre-shock NPL rate in transport sector: 2.7%. Up to 3.4% over the last 30 days. Distribution sector: 3.1% (was 2.6%).</w:t>
      </w:r>
    </w:p>
    <w:p>
      <w:pPr>
        <w:pStyle w:val="ListParagraph"/>
        <w:numPr>
          <w:ilvl w:val="0"/>
          <w:numId w:val="2"/>
        </w:numPr>
      </w:pPr>
      <w:r>
        <w:t xml:space="preserve">Pipeline for transport-sector SME lending: up 18% in last 60 days as operators seek working capital to absorb fuel costs — a possible warning sign.</w:t>
      </w:r>
    </w:p>
    <w:p>
      <w:pPr>
        <w:pStyle w:val="ListParagraph"/>
        <w:numPr>
          <w:ilvl w:val="0"/>
          <w:numId w:val="2"/>
        </w:numPr>
      </w:pPr>
      <w:r>
        <w:t xml:space="preserve">Foreign-currency loan portfolio: 12% of book. USD-denominated portion exposed to FX pressure as fuel imports increase USD demand.</w:t>
      </w:r>
    </w:p>
    <w:p>
      <w:pPr>
        <w:pStyle w:val="Heading3"/>
        <w:spacing w:after="80" w:before="180"/>
      </w:pPr>
      <w:r>
        <w:rPr>
          <w:b/>
          <w:bCs/>
          <w:color w:val="C65911"/>
        </w:rPr>
        <w:t xml:space="preserve">GK General Insurance (GKGI)</w:t>
      </w:r>
    </w:p>
    <w:p>
      <w:pPr>
        <w:pStyle w:val="ListParagraph"/>
        <w:numPr>
          <w:ilvl w:val="0"/>
          <w:numId w:val="2"/>
        </w:numPr>
      </w:pPr>
      <w:r>
        <w:t xml:space="preserve">Motor portfolio claims frequency up 9% over last 90 days. Severity flat. Hypothesized cause: deferred maintenance and economic stress driving more accidents.</w:t>
      </w:r>
    </w:p>
    <w:p>
      <w:pPr>
        <w:pStyle w:val="ListParagraph"/>
        <w:numPr>
          <w:ilvl w:val="0"/>
          <w:numId w:val="2"/>
        </w:numPr>
      </w:pPr>
      <w:r>
        <w:t xml:space="preserve">Property book mostly insulated, but commercial property in affected sectors at risk if business failures rise.</w:t>
      </w:r>
    </w:p>
    <w:p>
      <w:pPr>
        <w:pStyle w:val="ListParagraph"/>
        <w:numPr>
          <w:ilvl w:val="0"/>
          <w:numId w:val="2"/>
        </w:numPr>
      </w:pPr>
      <w:r>
        <w:t xml:space="preserve">Combined ratio drift: from 92% (12-month trailing) to 95% in last quarter. Direction concerning.</w:t>
      </w:r>
    </w:p>
    <w:p>
      <w:pPr>
        <w:pStyle w:val="ListParagraph"/>
        <w:numPr>
          <w:ilvl w:val="0"/>
          <w:numId w:val="2"/>
        </w:numPr>
      </w:pPr>
      <w:r>
        <w:t xml:space="preserve">Reinsurance pricing: stable, but renewal period coincides with potential broader market hardening.</w:t>
      </w:r>
    </w:p>
    <w:p>
      <w:pPr>
        <w:pStyle w:val="Heading3"/>
        <w:spacing w:after="80" w:before="180"/>
      </w:pPr>
      <w:r>
        <w:rPr>
          <w:b/>
          <w:bCs/>
          <w:color w:val="C65911"/>
        </w:rPr>
        <w:t xml:space="preserve">GraceKennedy Money Services / GK One</w:t>
      </w:r>
    </w:p>
    <w:p>
      <w:pPr>
        <w:pStyle w:val="ListParagraph"/>
        <w:numPr>
          <w:ilvl w:val="0"/>
          <w:numId w:val="2"/>
        </w:numPr>
      </w:pPr>
      <w:r>
        <w:t xml:space="preserve">Remittance volume from major diaspora origins (US, UK, Canada): flat to slightly down (−2%) over last 60 days. Historically these volumes are stable.</w:t>
      </w:r>
    </w:p>
    <w:p>
      <w:pPr>
        <w:pStyle w:val="ListParagraph"/>
        <w:numPr>
          <w:ilvl w:val="0"/>
          <w:numId w:val="2"/>
        </w:numPr>
      </w:pPr>
      <w:r>
        <w:t xml:space="preserve">Average remittance amount per transaction: down 4% — senders sending the same frequency, smaller amounts.</w:t>
      </w:r>
    </w:p>
    <w:p>
      <w:pPr>
        <w:pStyle w:val="ListParagraph"/>
        <w:numPr>
          <w:ilvl w:val="0"/>
          <w:numId w:val="2"/>
        </w:numPr>
      </w:pPr>
      <w:r>
        <w:t xml:space="preserve">GK One adoption continues to rise; in-person volumes flat. Margin gain from digital shift partially offsetting volume softness.</w:t>
      </w:r>
    </w:p>
    <w:p>
      <w:pPr>
        <w:pStyle w:val="ListParagraph"/>
        <w:numPr>
          <w:ilvl w:val="0"/>
          <w:numId w:val="2"/>
        </w:numPr>
      </w:pPr>
      <w:r>
        <w:t xml:space="preserve">Compliance signal: increased small-amount, high-frequency activity from a few corridors — worth monitoring for structuring.</w:t>
      </w:r>
    </w:p>
    <w:p>
      <w:pPr>
        <w:pStyle w:val="Heading2"/>
        <w:spacing w:after="100" w:before="240"/>
      </w:pPr>
      <w:r>
        <w:rPr>
          <w:b/>
          <w:bCs/>
          <w:color w:val="C00000"/>
        </w:rPr>
        <w:t xml:space="preserve">Your Charge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Should FGB expand, hold, or contract its SME lending program in transport and logistics sectors over the next four quarters — and what should it do with existing exposure?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Treat this not as a single event but as a duration. Your trip-wires must address: how long does the shock last, and what intermediate signals would force a re-decision?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By the end of your 25-minute table work, capture on your worksheet:</w:t>
      </w:r>
    </w:p>
    <w:p>
      <w:pPr>
        <w:pStyle w:val="ListParagraph"/>
        <w:numPr>
          <w:ilvl w:val="0"/>
          <w:numId w:val="3"/>
        </w:numPr>
      </w:pPr>
      <w:r>
        <w:t xml:space="preserve">Your recommendation: Expand, Hold, or Contract.</w:t>
      </w:r>
    </w:p>
    <w:p>
      <w:pPr>
        <w:pStyle w:val="ListParagraph"/>
        <w:numPr>
          <w:ilvl w:val="0"/>
          <w:numId w:val="3"/>
        </w:numPr>
      </w:pPr>
      <w:r>
        <w:t xml:space="preserve">Three decision-relevant data points (one from each SBU minimum).</w:t>
      </w:r>
    </w:p>
    <w:p>
      <w:pPr>
        <w:pStyle w:val="ListParagraph"/>
        <w:numPr>
          <w:ilvl w:val="0"/>
          <w:numId w:val="3"/>
        </w:numPr>
      </w:pPr>
      <w:r>
        <w:t xml:space="preserve">Your two strongest assumptions.</w:t>
      </w:r>
    </w:p>
    <w:p>
      <w:pPr>
        <w:pStyle w:val="ListParagraph"/>
        <w:numPr>
          <w:ilvl w:val="0"/>
          <w:numId w:val="3"/>
        </w:numPr>
      </w:pPr>
      <w:r>
        <w:t xml:space="preserve">The trip-wires — quantitative conditions that would change your call.</w:t>
      </w:r>
    </w:p>
    <w:p>
      <w:pPr>
        <w:pStyle w:val="ListParagraph"/>
        <w:numPr>
          <w:ilvl w:val="0"/>
          <w:numId w:val="3"/>
        </w:numPr>
      </w:pPr>
      <w:r>
        <w:t xml:space="preserve">Nominate one presenter for the report-out.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GKFG DDDM Program  |  Module 9 — “Decisions Under Shock”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2026-05-05T02:10:52.270Z</dcterms:created>
  <dcterms:modified xsi:type="dcterms:W3CDTF">2026-05-05T02:10:52.270Z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