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b/>
          <w:bCs/>
          <w:color w:val="5B2C6F"/>
          <w:sz w:val="22"/>
          <w:szCs w:val="22"/>
        </w:rPr>
        <w:t xml:space="preserve">SCENARIO 3</w:t>
      </w:r>
    </w:p>
    <w:p>
      <w:pPr>
        <w:spacing w:after="240" w:before="0"/>
      </w:pPr>
      <w:r>
        <w:rPr>
          <w:i/>
          <w:iCs/>
          <w:color w:val="595959"/>
          <w:sz w:val="20"/>
          <w:szCs w:val="20"/>
        </w:rPr>
        <w:t xml:space="preserve">Regulatory / counterparty shock archetype</w:t>
      </w:r>
    </w:p>
    <w:p>
      <w:pPr>
        <w:pStyle w:val="Heading1"/>
        <w:spacing w:after="160" w:before="0"/>
      </w:pPr>
      <w:r>
        <w:rPr>
          <w:b/>
          <w:bCs/>
          <w:color w:val="5B2C6F"/>
        </w:rPr>
        <w:t xml:space="preserve">Correspondent Banking De-risking on a Major Counterparty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5B2C6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THE SHOCK</w:t>
            </w:r>
          </w:p>
          <w:p>
            <w:pPr>
              <w:spacing w:after="80"/>
            </w:pPr>
            <w:r>
              <w:rPr>
                <w:color w:val="FFFFFF"/>
              </w:rPr>
              <w:t xml:space="preserve">A major US correspondent bank has notified GKFG that it is exiting Caribbean correspondent banking as part of a broader de-risking program tied to evolving AML/sanctions compliance posture. The notification gives GKFG 180 days. The counterparty in question handles approximately 31% of GKFG’s USD clearing volume and is the primary corridor for two GKMS remittance routes.</w:t>
            </w:r>
          </w:p>
          <w:p>
            <w:pPr>
              <w:spacing w:after="80"/>
            </w:pPr>
            <w:r>
              <w:rPr>
                <w:color w:val="FFFFFF"/>
              </w:rPr>
              <w:t xml:space="preserve">This is not a unique pattern. Caribbean financial institutions have been navigating correspondent banking de-risking for over a decade. The question is no longer whether it will happen — it is what GKFG’s posture should be when it does.</w:t>
            </w:r>
          </w:p>
          <w:p>
            <w:pPr>
              <w:spacing w:after="80"/>
            </w:pPr>
            <w:r>
              <w:rPr>
                <w:color w:val="FFFFFF"/>
              </w:rPr>
              <w:t xml:space="preserve">GKFG had been considering an expansion of cross-border services for high-net-worth and SME clients dependent on USD clearing. The question is whether that expansion still makes sense — and what to do about the corridors and clients already in motion.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5B2C6F"/>
        </w:rPr>
        <w:t xml:space="preserve">Signals Reaching Your Desk</w:t>
      </w:r>
    </w:p>
    <w:p>
      <w:pPr>
        <w:spacing w:after="80" w:before="80"/>
      </w:pPr>
      <w:r>
        <w:rPr>
          <w:i/>
          <w:iCs/>
          <w:color w:val="595959"/>
        </w:rPr>
        <w:t xml:space="preserve">These are the data sketches available to you across GKFG’s SBUs. They are partial and as-of right now — not a complete picture.</w:t>
      </w:r>
    </w:p>
    <w:p>
      <w:pPr>
        <w:pStyle w:val="Heading3"/>
        <w:spacing w:after="80" w:before="180"/>
      </w:pPr>
      <w:r>
        <w:rPr>
          <w:b/>
          <w:bCs/>
          <w:color w:val="5B2C6F"/>
        </w:rPr>
        <w:t xml:space="preserve">First Global Bank (FGB)</w:t>
      </w:r>
    </w:p>
    <w:p>
      <w:pPr>
        <w:pStyle w:val="ListParagraph"/>
        <w:numPr>
          <w:ilvl w:val="0"/>
          <w:numId w:val="2"/>
        </w:numPr>
      </w:pPr>
      <w:r>
        <w:t xml:space="preserve">USD clearing volume routed through the affected counterparty: 31% of total. No single alternative counterparty currently exceeds 18%.</w:t>
      </w:r>
    </w:p>
    <w:p>
      <w:pPr>
        <w:pStyle w:val="ListParagraph"/>
        <w:numPr>
          <w:ilvl w:val="0"/>
          <w:numId w:val="2"/>
        </w:numPr>
      </w:pPr>
      <w:r>
        <w:t xml:space="preserve">Cross-border banking clients: 1,400 accounts dependent on this corridor for routine USD activity.</w:t>
      </w:r>
    </w:p>
    <w:p>
      <w:pPr>
        <w:pStyle w:val="ListParagraph"/>
        <w:numPr>
          <w:ilvl w:val="0"/>
          <w:numId w:val="2"/>
        </w:numPr>
      </w:pPr>
      <w:r>
        <w:t xml:space="preserve">FGB’s own AML/KYC program: TP rate 7.2% (industry benchmark ~7–10%); SAR filings consistent; no recent regulatory findings.</w:t>
      </w:r>
    </w:p>
    <w:p>
      <w:pPr>
        <w:pStyle w:val="ListParagraph"/>
        <w:numPr>
          <w:ilvl w:val="0"/>
          <w:numId w:val="2"/>
        </w:numPr>
      </w:pPr>
      <w:r>
        <w:t xml:space="preserve">Substitution analysis (preliminary): two alternative correspondents tentatively willing to onboard, but at higher fees (~22% pricing differential) and longer onboarding (90–120 days).</w:t>
      </w:r>
    </w:p>
    <w:p>
      <w:pPr>
        <w:pStyle w:val="Heading3"/>
        <w:spacing w:after="80" w:before="180"/>
      </w:pPr>
      <w:r>
        <w:rPr>
          <w:b/>
          <w:bCs/>
          <w:color w:val="5B2C6F"/>
        </w:rPr>
        <w:t xml:space="preserve">GK General Insurance (GKGI)</w:t>
      </w:r>
    </w:p>
    <w:p>
      <w:pPr>
        <w:pStyle w:val="ListParagraph"/>
        <w:numPr>
          <w:ilvl w:val="0"/>
          <w:numId w:val="2"/>
        </w:numPr>
      </w:pPr>
      <w:r>
        <w:t xml:space="preserve">GKGI cross-border premium and claims activity through the affected corridor: ~8% of cross-border insurance volume.</w:t>
      </w:r>
    </w:p>
    <w:p>
      <w:pPr>
        <w:pStyle w:val="ListParagraph"/>
        <w:numPr>
          <w:ilvl w:val="0"/>
          <w:numId w:val="2"/>
        </w:numPr>
      </w:pPr>
      <w:r>
        <w:t xml:space="preserve">Reinsurance settlements: ~15% of reinsurance premium and claims flows historically routed through this counterparty.</w:t>
      </w:r>
    </w:p>
    <w:p>
      <w:pPr>
        <w:pStyle w:val="ListParagraph"/>
        <w:numPr>
          <w:ilvl w:val="0"/>
          <w:numId w:val="2"/>
        </w:numPr>
      </w:pPr>
      <w:r>
        <w:t xml:space="preserve">Direct customer impact on GKGI clients: limited, but second-order if FGB clients defect.</w:t>
      </w:r>
    </w:p>
    <w:p>
      <w:pPr>
        <w:pStyle w:val="Heading3"/>
        <w:spacing w:after="80" w:before="180"/>
      </w:pPr>
      <w:r>
        <w:rPr>
          <w:b/>
          <w:bCs/>
          <w:color w:val="5B2C6F"/>
        </w:rPr>
        <w:t xml:space="preserve">GraceKennedy Money Services / GK One</w:t>
      </w:r>
    </w:p>
    <w:p>
      <w:pPr>
        <w:pStyle w:val="ListParagraph"/>
        <w:numPr>
          <w:ilvl w:val="0"/>
          <w:numId w:val="2"/>
        </w:numPr>
      </w:pPr>
      <w:r>
        <w:t xml:space="preserve">Two GKMS corridors (US-origin to Jamaica and US-origin to Trinidad &amp; Tobago) heavily routed through this counterparty: 44% and 38% of corridor volume respectively.</w:t>
      </w:r>
    </w:p>
    <w:p>
      <w:pPr>
        <w:pStyle w:val="ListParagraph"/>
        <w:numPr>
          <w:ilvl w:val="0"/>
          <w:numId w:val="2"/>
        </w:numPr>
      </w:pPr>
      <w:r>
        <w:t xml:space="preserve">GK One digital remittance product: partial substitute. Currently handles 31% of inbound remittance from affected corridors. Could potentially absorb more if funded.</w:t>
      </w:r>
    </w:p>
    <w:p>
      <w:pPr>
        <w:pStyle w:val="ListParagraph"/>
        <w:numPr>
          <w:ilvl w:val="0"/>
          <w:numId w:val="2"/>
        </w:numPr>
      </w:pPr>
      <w:r>
        <w:t xml:space="preserve">Customer service signals: no current customer awareness of the de-risking. Window before this becomes public: estimated 30–60 days.</w:t>
      </w:r>
    </w:p>
    <w:p>
      <w:pPr>
        <w:pStyle w:val="ListParagraph"/>
        <w:numPr>
          <w:ilvl w:val="0"/>
          <w:numId w:val="2"/>
        </w:numPr>
      </w:pPr>
      <w:r>
        <w:t xml:space="preserve">Competitor activity: two digital-native remittance providers have aggressively expanded marketing in the affected corridors over the last 90 days — unrelated, but the timing matters.</w:t>
      </w:r>
    </w:p>
    <w:p>
      <w:pPr>
        <w:pStyle w:val="Heading2"/>
        <w:spacing w:after="100" w:before="240"/>
      </w:pPr>
      <w:r>
        <w:rPr>
          <w:b/>
          <w:bCs/>
          <w:color w:val="C00000"/>
        </w:rPr>
        <w:t xml:space="preserve">Your Charge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6"/>
              <w:left w:val="single" w:color="BFBFBF" w:sz="6"/>
              <w:bottom w:val="single" w:color="BFBFBF" w:sz="6"/>
              <w:right w:val="single" w:color="BFBFBF" w:sz="6"/>
            </w:tcBorders>
            <w:shd w:fill="E8DA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Should GKFG expand, hold, or contract its cross-border services strategy — specifically the FGB USD clearing offering and the GKMS corridors most exposed?</w:t>
            </w:r>
          </w:p>
          <w:p>
            <w:r>
              <w:rPr>
                <w:i/>
                <w:iCs/>
                <w:color w:val="595959"/>
                <w:sz w:val="20"/>
                <w:szCs w:val="20"/>
              </w:rPr>
              <w:t xml:space="preserve">Consider this a strategic question, not a compliance question. The compliance team will solve the operational substitution. Your job is to decide GKFG’s posture: lean in, hold, or pull back. State the conditions for changing your call.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b/>
          <w:bCs/>
        </w:rPr>
        <w:t xml:space="preserve">By the end of your 25-minute table work, capture on your worksheet:</w:t>
      </w:r>
    </w:p>
    <w:p>
      <w:pPr>
        <w:pStyle w:val="ListParagraph"/>
        <w:numPr>
          <w:ilvl w:val="0"/>
          <w:numId w:val="3"/>
        </w:numPr>
      </w:pPr>
      <w:r>
        <w:t xml:space="preserve">Your recommendation: Expand, Hold, or Contract.</w:t>
      </w:r>
    </w:p>
    <w:p>
      <w:pPr>
        <w:pStyle w:val="ListParagraph"/>
        <w:numPr>
          <w:ilvl w:val="0"/>
          <w:numId w:val="3"/>
        </w:numPr>
      </w:pPr>
      <w:r>
        <w:t xml:space="preserve">Three decision-relevant data points (one from each SBU minimum).</w:t>
      </w:r>
    </w:p>
    <w:p>
      <w:pPr>
        <w:pStyle w:val="ListParagraph"/>
        <w:numPr>
          <w:ilvl w:val="0"/>
          <w:numId w:val="3"/>
        </w:numPr>
      </w:pPr>
      <w:r>
        <w:t xml:space="preserve">Your two strongest assumptions.</w:t>
      </w:r>
    </w:p>
    <w:p>
      <w:pPr>
        <w:pStyle w:val="ListParagraph"/>
        <w:numPr>
          <w:ilvl w:val="0"/>
          <w:numId w:val="3"/>
        </w:numPr>
      </w:pPr>
      <w:r>
        <w:t xml:space="preserve">The trip-wires — quantitative conditions that would change your call.</w:t>
      </w:r>
    </w:p>
    <w:p>
      <w:pPr>
        <w:pStyle w:val="ListParagraph"/>
        <w:numPr>
          <w:ilvl w:val="0"/>
          <w:numId w:val="3"/>
        </w:numPr>
      </w:pPr>
      <w:r>
        <w:t xml:space="preserve">Nominate one presenter for the report-out.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8"/>
        <w:szCs w:val="18"/>
      </w:rPr>
      <w:t xml:space="preserve">GKFG DDDM Program  |  Module 9 — “Decisions Under Shock”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2026-05-05T02:10:52.283Z</dcterms:created>
  <dcterms:modified xsi:type="dcterms:W3CDTF">2026-05-05T02:10:52.283Z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