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b/>
          <w:bCs/>
          <w:color w:val="0E7C7B"/>
          <w:sz w:val="22"/>
          <w:szCs w:val="22"/>
        </w:rPr>
        <w:t xml:space="preserve">SCENARIO 4</w:t>
      </w:r>
    </w:p>
    <w:p>
      <w:pPr>
        <w:spacing w:after="240" w:before="0"/>
      </w:pPr>
      <w:r>
        <w:rPr>
          <w:i/>
          <w:iCs/>
          <w:color w:val="595959"/>
          <w:sz w:val="20"/>
          <w:szCs w:val="20"/>
        </w:rPr>
        <w:t xml:space="preserve">Operational / cyber shock archetype</w:t>
      </w:r>
    </w:p>
    <w:p>
      <w:pPr>
        <w:pStyle w:val="Heading1"/>
        <w:spacing w:after="160" w:before="0"/>
      </w:pPr>
      <w:r>
        <w:rPr>
          <w:b/>
          <w:bCs/>
          <w:color w:val="0E7C7B"/>
        </w:rPr>
        <w:t xml:space="preserve">Regional Core Banking Vendor Outage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0E7C7B" w:val="clear"/>
            <w:tcMar>
              <w:top w:type="dxa" w:w="100"/>
              <w:left w:type="dxa" w:w="140"/>
              <w:bottom w:type="dxa" w:w="100"/>
              <w:right w:type="dxa" w:w="140"/>
            </w:tcMar>
            <w:vAlign w:val="center"/>
          </w:tcPr>
          <w:p>
            <w:pPr>
              <w:spacing w:after="120"/>
            </w:pPr>
            <w:r>
              <w:rPr>
                <w:b/>
                <w:bCs/>
                <w:color w:val="FFFFFF"/>
                <w:sz w:val="22"/>
                <w:szCs w:val="22"/>
              </w:rPr>
              <w:t xml:space="preserve">THE SHOCK</w:t>
            </w:r>
          </w:p>
          <w:p>
            <w:pPr>
              <w:spacing w:after="80"/>
            </w:pPr>
            <w:r>
              <w:rPr>
                <w:color w:val="FFFFFF"/>
              </w:rPr>
              <w:t xml:space="preserve">A core banking technology vendor used by GKFG and three competitor banks across the region has suffered a 36-hour service outage following a security incident. GKFG’s digital channels (online banking, mobile app, GK One) were unavailable for 31 of those 36 hours. Branch operations continued with manual processes. Card network connectivity was intermittent. ATM availability was reduced by ~40% during the outage window.</w:t>
            </w:r>
          </w:p>
          <w:p>
            <w:pPr>
              <w:spacing w:after="80"/>
            </w:pPr>
            <w:r>
              <w:rPr>
                <w:color w:val="FFFFFF"/>
              </w:rPr>
              <w:t xml:space="preserve">Service has now been restored. The vendor has confirmed that no customer data was compromised. Regulators in three territories have requested formal incident reports within 14 days. Press coverage is regional. Customer service contact volume is currently 6x normal.</w:t>
            </w:r>
          </w:p>
          <w:p>
            <w:pPr>
              <w:spacing w:after="80"/>
            </w:pPr>
            <w:r>
              <w:rPr>
                <w:color w:val="FFFFFF"/>
              </w:rPr>
              <w:t xml:space="preserve">Before the outage, GKFG had been preparing to deepen its commitment to the affected vendor under a 5-year extension. The question is whether to proceed, hold, or contract on that commitment — and what posture to take on customer trust recovery.</w:t>
            </w:r>
          </w:p>
        </w:tc>
      </w:tr>
    </w:tbl>
    <w:p>
      <w:pPr>
        <w:spacing w:after="60" w:before="60"/>
      </w:pPr>
      <w:r>
        <w:t xml:space="preserve"/>
      </w:r>
    </w:p>
    <w:p>
      <w:pPr>
        <w:pStyle w:val="Heading2"/>
        <w:spacing w:after="100" w:before="240"/>
      </w:pPr>
      <w:r>
        <w:rPr>
          <w:b/>
          <w:bCs/>
          <w:color w:val="0E7C7B"/>
        </w:rPr>
        <w:t xml:space="preserve">Signals Reaching Your Desk</w:t>
      </w:r>
    </w:p>
    <w:p>
      <w:pPr>
        <w:spacing w:after="80" w:before="80"/>
      </w:pPr>
      <w:r>
        <w:rPr>
          <w:i/>
          <w:iCs/>
          <w:color w:val="595959"/>
        </w:rPr>
        <w:t xml:space="preserve">These are the data sketches available to you across GKFG’s SBUs. They are partial and as-of right now — not a complete picture.</w:t>
      </w:r>
    </w:p>
    <w:p>
      <w:pPr>
        <w:pStyle w:val="Heading3"/>
        <w:spacing w:after="80" w:before="180"/>
      </w:pPr>
      <w:r>
        <w:rPr>
          <w:b/>
          <w:bCs/>
          <w:color w:val="0E7C7B"/>
        </w:rPr>
        <w:t xml:space="preserve">First Global Bank (FGB)</w:t>
      </w:r>
    </w:p>
    <w:p>
      <w:pPr>
        <w:pStyle w:val="ListParagraph"/>
        <w:numPr>
          <w:ilvl w:val="0"/>
          <w:numId w:val="2"/>
        </w:numPr>
      </w:pPr>
      <w:r>
        <w:t xml:space="preserve">Digital adoption: 67% of FGB transacting customers used digital channels at least monthly before the outage. These customers experienced a near-total service failure.</w:t>
      </w:r>
    </w:p>
    <w:p>
      <w:pPr>
        <w:pStyle w:val="ListParagraph"/>
        <w:numPr>
          <w:ilvl w:val="0"/>
          <w:numId w:val="2"/>
        </w:numPr>
      </w:pPr>
      <w:r>
        <w:t xml:space="preserve">Branch-active customers (33%): largely unaffected operationally; but heard about the outage from media.</w:t>
      </w:r>
    </w:p>
    <w:p>
      <w:pPr>
        <w:pStyle w:val="ListParagraph"/>
        <w:numPr>
          <w:ilvl w:val="0"/>
          <w:numId w:val="2"/>
        </w:numPr>
      </w:pPr>
      <w:r>
        <w:t xml:space="preserve">Customer service volume: 6x normal post-restoration. Complaint themes: lost trust (52%), demand for compensation (28%), questions about data security (20%).</w:t>
      </w:r>
    </w:p>
    <w:p>
      <w:pPr>
        <w:pStyle w:val="ListParagraph"/>
        <w:numPr>
          <w:ilvl w:val="0"/>
          <w:numId w:val="2"/>
        </w:numPr>
      </w:pPr>
      <w:r>
        <w:t xml:space="preserve">Early churn signal: account closure inquiries up 11x on day 1 post-restoration; volume declining but still elevated.</w:t>
      </w:r>
    </w:p>
    <w:p>
      <w:pPr>
        <w:pStyle w:val="Heading3"/>
        <w:spacing w:after="80" w:before="180"/>
      </w:pPr>
      <w:r>
        <w:rPr>
          <w:b/>
          <w:bCs/>
          <w:color w:val="0E7C7B"/>
        </w:rPr>
        <w:t xml:space="preserve">GK General Insurance (GKGI)</w:t>
      </w:r>
    </w:p>
    <w:p>
      <w:pPr>
        <w:pStyle w:val="ListParagraph"/>
        <w:numPr>
          <w:ilvl w:val="0"/>
          <w:numId w:val="2"/>
        </w:numPr>
      </w:pPr>
      <w:r>
        <w:t xml:space="preserve">Claims processing was unaffected (different system); claims agents continued operating.</w:t>
      </w:r>
    </w:p>
    <w:p>
      <w:pPr>
        <w:pStyle w:val="ListParagraph"/>
        <w:numPr>
          <w:ilvl w:val="0"/>
          <w:numId w:val="2"/>
        </w:numPr>
      </w:pPr>
      <w:r>
        <w:t xml:space="preserve">GKGI is currently the strongest cross-SBU customer trust signal: customers with active claims report normal experience.</w:t>
      </w:r>
    </w:p>
    <w:p>
      <w:pPr>
        <w:pStyle w:val="ListParagraph"/>
        <w:numPr>
          <w:ilvl w:val="0"/>
          <w:numId w:val="2"/>
        </w:numPr>
      </w:pPr>
      <w:r>
        <w:t xml:space="preserve">Renewal cycle is upcoming; early indicator data on renewal-rate intent will not be available for 30–45 days.</w:t>
      </w:r>
    </w:p>
    <w:p>
      <w:pPr>
        <w:pStyle w:val="ListParagraph"/>
        <w:numPr>
          <w:ilvl w:val="0"/>
          <w:numId w:val="2"/>
        </w:numPr>
      </w:pPr>
      <w:r>
        <w:t xml:space="preserve">Reputational spillover: GKGI is named in some press coverage even though insurance was operational.</w:t>
      </w:r>
    </w:p>
    <w:p>
      <w:pPr>
        <w:pStyle w:val="Heading3"/>
        <w:spacing w:after="80" w:before="180"/>
      </w:pPr>
      <w:r>
        <w:rPr>
          <w:b/>
          <w:bCs/>
          <w:color w:val="0E7C7B"/>
        </w:rPr>
        <w:t xml:space="preserve">GraceKennedy Money Services / GK One</w:t>
      </w:r>
    </w:p>
    <w:p>
      <w:pPr>
        <w:pStyle w:val="ListParagraph"/>
        <w:numPr>
          <w:ilvl w:val="0"/>
          <w:numId w:val="2"/>
        </w:numPr>
      </w:pPr>
      <w:r>
        <w:t xml:space="preserve">GK One down for the full digital-channel outage window. Cash-in/cash-out via agents partially operational.</w:t>
      </w:r>
    </w:p>
    <w:p>
      <w:pPr>
        <w:pStyle w:val="ListParagraph"/>
        <w:numPr>
          <w:ilvl w:val="0"/>
          <w:numId w:val="2"/>
        </w:numPr>
      </w:pPr>
      <w:r>
        <w:t xml:space="preserve">Two corridors had significant volume gaps; recovery in volume is slower than in branch traffic.</w:t>
      </w:r>
    </w:p>
    <w:p>
      <w:pPr>
        <w:pStyle w:val="ListParagraph"/>
        <w:numPr>
          <w:ilvl w:val="0"/>
          <w:numId w:val="2"/>
        </w:numPr>
      </w:pPr>
      <w:r>
        <w:t xml:space="preserve">Competitor digital-native remittance providers saw a measurable spike in new sign-ups during the outage.</w:t>
      </w:r>
    </w:p>
    <w:p>
      <w:pPr>
        <w:pStyle w:val="ListParagraph"/>
        <w:numPr>
          <w:ilvl w:val="0"/>
          <w:numId w:val="2"/>
        </w:numPr>
      </w:pPr>
      <w:r>
        <w:t xml:space="preserve">Customer messaging during the outage: criticized in social media for being slow and uninformative for the first 8 hours.</w:t>
      </w:r>
    </w:p>
    <w:p>
      <w:pPr>
        <w:pStyle w:val="Heading2"/>
        <w:spacing w:after="100" w:before="240"/>
      </w:pPr>
      <w:r>
        <w:rPr>
          <w:b/>
          <w:bCs/>
          <w:color w:val="C00000"/>
        </w:rPr>
        <w:t xml:space="preserve">Your Charge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D0ECE7" w:val="clear"/>
            <w:tcMar>
              <w:top w:type="dxa" w:w="100"/>
              <w:left w:type="dxa" w:w="140"/>
              <w:bottom w:type="dxa" w:w="100"/>
              <w:right w:type="dxa" w:w="140"/>
            </w:tcMar>
            <w:vAlign w:val="center"/>
          </w:tcPr>
          <w:p>
            <w:pPr>
              <w:spacing w:after="120"/>
            </w:pPr>
            <w:r>
              <w:rPr>
                <w:b/>
                <w:bCs/>
                <w:sz w:val="22"/>
                <w:szCs w:val="22"/>
              </w:rPr>
              <w:t xml:space="preserve">Should GKFG proceed, hold, or contract on the planned 5-year extension with the affected vendor — and what is the right investment posture on customer trust recovery?</w:t>
            </w:r>
          </w:p>
          <w:p>
            <w:r>
              <w:rPr>
                <w:i/>
                <w:iCs/>
                <w:color w:val="595959"/>
                <w:sz w:val="20"/>
                <w:szCs w:val="20"/>
              </w:rPr>
              <w:t xml:space="preserve">Time-bucket your analysis. The operational fix is done. The trust recovery curve is just beginning. Your trip-wires should reflect both — and they will be different metrics.</w:t>
            </w:r>
          </w:p>
        </w:tc>
      </w:tr>
    </w:tbl>
    <w:p>
      <w:pPr>
        <w:spacing w:after="60" w:before="60"/>
      </w:pPr>
      <w:r>
        <w:t xml:space="preserve"/>
      </w:r>
    </w:p>
    <w:p>
      <w:pPr>
        <w:spacing w:after="80" w:before="80"/>
      </w:pPr>
      <w:r>
        <w:rPr>
          <w:b/>
          <w:bCs/>
        </w:rPr>
        <w:t xml:space="preserve">By the end of your 25-minute table work, capture on your worksheet:</w:t>
      </w:r>
    </w:p>
    <w:p>
      <w:pPr>
        <w:pStyle w:val="ListParagraph"/>
        <w:numPr>
          <w:ilvl w:val="0"/>
          <w:numId w:val="3"/>
        </w:numPr>
      </w:pPr>
      <w:r>
        <w:t xml:space="preserve">Your recommendation: Expand, Hold, or Contract.</w:t>
      </w:r>
    </w:p>
    <w:p>
      <w:pPr>
        <w:pStyle w:val="ListParagraph"/>
        <w:numPr>
          <w:ilvl w:val="0"/>
          <w:numId w:val="3"/>
        </w:numPr>
      </w:pPr>
      <w:r>
        <w:t xml:space="preserve">Three decision-relevant data points (one from each SBU minimum).</w:t>
      </w:r>
    </w:p>
    <w:p>
      <w:pPr>
        <w:pStyle w:val="ListParagraph"/>
        <w:numPr>
          <w:ilvl w:val="0"/>
          <w:numId w:val="3"/>
        </w:numPr>
      </w:pPr>
      <w:r>
        <w:t xml:space="preserve">Your two strongest assumptions.</w:t>
      </w:r>
    </w:p>
    <w:p>
      <w:pPr>
        <w:pStyle w:val="ListParagraph"/>
        <w:numPr>
          <w:ilvl w:val="0"/>
          <w:numId w:val="3"/>
        </w:numPr>
      </w:pPr>
      <w:r>
        <w:t xml:space="preserve">The trip-wires — quantitative conditions that would change your call.</w:t>
      </w:r>
    </w:p>
    <w:p>
      <w:pPr>
        <w:pStyle w:val="ListParagraph"/>
        <w:numPr>
          <w:ilvl w:val="0"/>
          <w:numId w:val="3"/>
        </w:numPr>
      </w:pPr>
      <w:r>
        <w:t xml:space="preserve">Nominate one presenter for the report-out.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GKFG DDDM Program  |  Module 9 — “Decisions Under Shock”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00" w:before="24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2026-05-05T02:10:52.306Z</dcterms:created>
  <dcterms:modified xsi:type="dcterms:W3CDTF">2026-05-05T02:10:52.306Z</dcterms:modified>
</cp:coreProperties>
</file>

<file path=docProps/custom.xml><?xml version="1.0" encoding="utf-8"?>
<Properties xmlns="http://schemas.openxmlformats.org/officeDocument/2006/custom-properties" xmlns:vt="http://schemas.openxmlformats.org/officeDocument/2006/docPropsVTypes"/>
</file>