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b/>
          <w:bCs/>
          <w:color w:val="1F3864"/>
        </w:rPr>
        <w:t xml:space="preserve">Participant Worksheet</w:t>
      </w:r>
    </w:p>
    <w:p>
      <w:pPr>
        <w:spacing w:after="80" w:before="0"/>
      </w:pPr>
      <w:r>
        <w:rPr>
          <w:i/>
          <w:iCs/>
          <w:color w:val="2E74B5"/>
          <w:sz w:val="24"/>
          <w:szCs w:val="24"/>
        </w:rPr>
        <w:t xml:space="preserve">“Decisions Under Shock”  —  Module 9 Cross-Functional Case Study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GKFG Data-Driven Decision-Making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Function / SBU: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Table #: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Scenario assigned: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□ 1   □ 2   □ 3   □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Part A  |  Diagnose the Shock</w:t>
      </w:r>
    </w:p>
    <w:p>
      <w:pPr>
        <w:spacing w:after="80" w:before="80"/>
      </w:pPr>
      <w:r>
        <w:t xml:space="preserve">Before reaching for data, name what kind of shock this is. The data move that matters depends on the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This shock is best understood as (circle one or write your own):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Localized geographic   |   Geopolitical / commodity   |   Regulatory / counterparty   |   Operational / cyber   |   Other:____________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What does that shock type demand of our data? (one sentence)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Part B  |  Three Decision-Relevant Data Points</w:t>
      </w:r>
    </w:p>
    <w:p>
      <w:pPr>
        <w:spacing w:after="80" w:before="80"/>
      </w:pPr>
      <w:r>
        <w:t xml:space="preserve">At least one data point from each SBU. Specific, not abstract. “NPL in transport sector at 3.4%” — not “the loan book.”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FGB — Banking &amp; Investments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GKGI — Insurance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GKMS / GK One — Money Services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Part C  |  Your Two Strongest Assumptions</w:t>
      </w:r>
    </w:p>
    <w:p>
      <w:pPr>
        <w:spacing w:after="80" w:before="80"/>
      </w:pPr>
      <w:r>
        <w:t xml:space="preserve">What two assumptions does your recommendation most depend on? If either turned out wrong, would your recommendation change?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Assumption 1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If wrong, what changes?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Assumption 2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If wrong, what changes?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Part D  |  Your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Our recommendation:  □ EXPAND   □ HOLD   □ CONTRACT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In one sentence: what are we doing and why?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Part E  |  The Trip-Wires</w:t>
      </w:r>
    </w:p>
    <w:p>
      <w:pPr>
        <w:spacing w:after="80" w:before="80"/>
      </w:pPr>
      <w:r>
        <w:t xml:space="preserve">Specific, quantitative conditions that would change your recommendation. Avoid “if things get worse.” Force yourself to a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Trip-wire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If this metric crosses this threshold by this date…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…recommendation moves to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Trip-wire 1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□ Expand   □ Hold   □ Contract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Trip-wire 2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□ Expand   □ Hold   □ Contract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Trip-wire 3 (optional)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□ Expand   □ Hold   □ Contract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BF8F00"/>
        </w:rPr>
        <w:t xml:space="preserve">Part F  |  Your Personal Commitment</w:t>
      </w:r>
    </w:p>
    <w:p>
      <w:pPr>
        <w:spacing w:after="80" w:before="80"/>
      </w:pPr>
      <w:r>
        <w:t xml:space="preserve">After hearing the report-outs and the meta-pattern reveal: what is the one habit you will install? What question will you start asking when the next shock arrives?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When the next shock hits, the first question I will ask is: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  <w:p>
            <w:pPr>
              <w:spacing w:after="100" w:before="100"/>
            </w:pPr>
            <w:r>
              <w:rPr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40"/>
        <w:jc w:val="center"/>
      </w:pPr>
      <w:r>
        <w:rPr>
          <w:b/>
          <w:bCs/>
          <w:i/>
          <w:iCs/>
          <w:color w:val="1F3864"/>
          <w:sz w:val="24"/>
          <w:szCs w:val="24"/>
        </w:rPr>
        <w:t xml:space="preserve">“What kind of shock is this, and what does that type demand of my data?”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GKFG DDDM Program  |  Module 9 — “Decisions Under Shock”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2026-05-05T02:10:52.339Z</dcterms:created>
  <dcterms:modified xsi:type="dcterms:W3CDTF">2026-05-05T02:10:52.339Z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