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color w:val="BF8F00"/>
          <w:sz w:val="22"/>
          <w:szCs w:val="22"/>
        </w:rPr>
        <w:t xml:space="preserve">INTERNAL  |  EXECUTIVE RISK COMMITTEE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Monthly Risk &amp; Compliance Briefing  —  Five-Month Summary</w:t>
      </w:r>
    </w:p>
    <w:p>
      <w:pPr>
        <w:pStyle w:val="Heading1"/>
        <w:spacing w:after="160" w:before="0"/>
      </w:pPr>
      <w:r>
        <w:rPr>
          <w:b/>
          <w:bCs/>
          <w:color w:val="1F3864"/>
        </w:rPr>
        <w:t xml:space="preserve">Risk Signal Briefings  |  Months 1–5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Distributed for: Executive Risk Committee  |  Period: Trailing 5 months  |  Classification: Internal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CHARGE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Read these five months of briefings as you would any month’s risk pack. Apply the Three Questions to each signal: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1.  What is the trend?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2.  What is the composition behind the trend?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</w:rPr>
              <w:t xml:space="preserve">3.  What change would force a decision?</w:t>
            </w:r>
          </w:p>
          <w:p>
            <w:r>
              <w:rPr>
                <w:i/>
                <w:iCs/>
                <w:color w:val="FFFFFF"/>
              </w:rPr>
              <w:t xml:space="preserve">By the end of Month 5, define on your worksheet: what would you have done? Which signal triggered it? What was your threshold?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i/>
          <w:iCs/>
          <w:color w:val="595959"/>
        </w:rPr>
        <w:t xml:space="preserve">These briefings are stylized but mirror the structure of real GKFG executive risk reporting. Numbers are illustrative — the patterns are what matter.</w:t>
      </w:r>
    </w:p>
    <w:p>
      <w:r>
        <w:br w:type="page"/>
      </w:r>
    </w:p>
    <w:p>
      <w:pPr>
        <w:spacing w:after="160" w:before="0"/>
      </w:pPr>
      <w:r>
        <w:rPr>
          <w:b/>
          <w:bCs/>
          <w:color w:val="1F3864"/>
          <w:sz w:val="24"/>
          <w:szCs w:val="24"/>
        </w:rPr>
        <w:t xml:space="preserve">MONTH 1  —  RISK SIGNAL SUMMARY</w:t>
      </w:r>
    </w:p>
    <w:p>
      <w:pPr>
        <w:spacing w:after="80" w:before="120"/>
      </w:pPr>
      <w:r>
        <w:rPr>
          <w:b/>
          <w:bCs/>
          <w:color w:val="2E74B5"/>
          <w:sz w:val="22"/>
          <w:szCs w:val="22"/>
        </w:rPr>
        <w:t xml:space="preserve">Fraud Indicators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Loss rate (bps)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Key indicator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MoM change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0.07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Within range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−0.4%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Digital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0.18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Geo mismatch 14%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+3.1%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0.11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Within range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+1.2%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Fraud team: </w:t>
      </w:r>
      <w:r>
        <w:rPr>
          <w:i/>
          <w:iCs/>
          <w:color w:val="595959"/>
          <w:sz w:val="20"/>
          <w:szCs w:val="20"/>
        </w:rPr>
        <w:t xml:space="preserve">Digital geography mismatches elevated but consistent with VPN and travel patterns. No actionable concern.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AML / KYC Alert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12-mo avg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Open alert backlog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412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398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405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True-positive rate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8.4%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8.6%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8.5%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Avg time-to-disposition (days)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6.1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SAR filings (this month)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</w:tr>
    </w:tbl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Portfolio Concentration — Western Parishes Lending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Western parish small-business exposure (% of book)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accounts opened in last 90 days (% of parish accounts)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 velocity per account vs. GKFG average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1.0x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1.0x</w:t>
            </w:r>
          </w:p>
        </w:tc>
      </w:tr>
    </w:tbl>
    <w:p>
      <w:pPr>
        <w:spacing w:after="60" w:before="200"/>
      </w:pPr>
      <w:r>
        <w:rPr>
          <w:b/>
          <w:bCs/>
          <w:color w:val="C65911"/>
          <w:sz w:val="20"/>
          <w:szCs w:val="20"/>
        </w:rPr>
        <w:t xml:space="preserve">Executive summary line (from Head of Risk): 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Risk profile broadly stable. Continuing routine monitoring.</w:t>
      </w:r>
    </w:p>
    <w:p>
      <w:r>
        <w:br w:type="page"/>
      </w:r>
    </w:p>
    <w:p>
      <w:pPr>
        <w:spacing w:after="160" w:before="0"/>
      </w:pPr>
      <w:r>
        <w:rPr>
          <w:b/>
          <w:bCs/>
          <w:color w:val="1F3864"/>
          <w:sz w:val="24"/>
          <w:szCs w:val="24"/>
        </w:rPr>
        <w:t xml:space="preserve">MONTH 2  —  RISK SIGNAL SUMMARY</w:t>
      </w:r>
    </w:p>
    <w:p>
      <w:pPr>
        <w:spacing w:after="80" w:before="120"/>
      </w:pPr>
      <w:r>
        <w:rPr>
          <w:b/>
          <w:bCs/>
          <w:color w:val="2E74B5"/>
          <w:sz w:val="22"/>
          <w:szCs w:val="22"/>
        </w:rPr>
        <w:t xml:space="preserve">Fraud Indicators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Loss rate (bps)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Key indicator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MoM change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0.07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Within range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Digital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0.21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Geo mismatch 19%; device anomalies +31%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+16.7%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0.12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Within range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+9.1%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Fraud team: </w:t>
      </w:r>
      <w:r>
        <w:rPr>
          <w:i/>
          <w:iCs/>
          <w:color w:val="595959"/>
          <w:sz w:val="20"/>
          <w:szCs w:val="20"/>
        </w:rPr>
        <w:t xml:space="preserve">Digital channel showing modest uptick in anomaly flags. Investigation initiated. Two AML analysts on extended leave (medical, parental).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AML / KYC Alert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12-mo avg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Open alert backlog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487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405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True-positive rate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7.9%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8.4%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Avg time-to-disposition (days)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7.1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SAR filings (this month)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</w:tr>
    </w:tbl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Portfolio Concentration — Western Parishes Lending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Western parish small-business exposure (% of book)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13%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accounts opened in last 90 days (% of parish accounts)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 velocity per account vs. GKFG average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1.1x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1.0x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Lending: </w:t>
      </w:r>
      <w:r>
        <w:rPr>
          <w:i/>
          <w:iCs/>
          <w:color w:val="595959"/>
          <w:sz w:val="20"/>
          <w:szCs w:val="20"/>
        </w:rPr>
        <w:t xml:space="preserve">Post-Hurricane Melissa rebuild lending program approved this month. Flagship community commitment. Pipeline strong.</w:t>
      </w:r>
    </w:p>
    <w:p>
      <w:pPr>
        <w:spacing w:after="60" w:before="200"/>
      </w:pPr>
      <w:r>
        <w:rPr>
          <w:b/>
          <w:bCs/>
          <w:color w:val="C65911"/>
          <w:sz w:val="20"/>
          <w:szCs w:val="20"/>
        </w:rPr>
        <w:t xml:space="preserve">Executive summary line (from Head of Risk): 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Manageable. Some staffing headwinds in AML triage but expected to normalize next month.</w:t>
      </w:r>
    </w:p>
    <w:p>
      <w:r>
        <w:br w:type="page"/>
      </w:r>
    </w:p>
    <w:p>
      <w:pPr>
        <w:spacing w:after="160" w:before="0"/>
      </w:pPr>
      <w:r>
        <w:rPr>
          <w:b/>
          <w:bCs/>
          <w:color w:val="1F3864"/>
          <w:sz w:val="24"/>
          <w:szCs w:val="24"/>
        </w:rPr>
        <w:t xml:space="preserve">MONTH 3  —  RISK SIGNAL SUMMARY</w:t>
      </w:r>
    </w:p>
    <w:p>
      <w:pPr>
        <w:spacing w:after="80" w:before="120"/>
      </w:pPr>
      <w:r>
        <w:rPr>
          <w:b/>
          <w:bCs/>
          <w:color w:val="2E74B5"/>
          <w:sz w:val="22"/>
          <w:szCs w:val="22"/>
        </w:rPr>
        <w:t xml:space="preserve">Fraud Indicators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Loss rate (bps)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Key indicator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MoM change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0.08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Within range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+14.3%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Digital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0.24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ATO signals up 18% MoM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+14.3%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0.13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Within range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+8.3%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Fraud team: </w:t>
      </w:r>
      <w:r>
        <w:rPr>
          <w:i/>
          <w:iCs/>
          <w:color w:val="595959"/>
          <w:sz w:val="20"/>
          <w:szCs w:val="20"/>
        </w:rPr>
        <w:t xml:space="preserve">Digital uptick concentrated in remittance-linked accounts — customers with active GKMS corridors. Monitoring.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AML / KYC Alert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12-mo avg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Open alert backlog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568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487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418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True-positive rate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7.2%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7.9%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8.2%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Avg time-to-disposition (days)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8.4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7.1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6.5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SAR filings (this month)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Compliance: </w:t>
      </w:r>
      <w:r>
        <w:rPr>
          <w:i/>
          <w:iCs/>
          <w:color w:val="595959"/>
          <w:sz w:val="20"/>
          <w:szCs w:val="20"/>
        </w:rPr>
        <w:t xml:space="preserve">New detection rules deployed mid-month — alert volume up. TP rate temporarily depressed as rules tune. AML staffing still down 2.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Portfolio Concentration — Western Parishes Lending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Western parish small-business exposure (% of book)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accounts opened in last 90 days (% of parish accounts)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17%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 velocity per account vs. GKFG average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1.4x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1.1x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Lending: </w:t>
      </w:r>
      <w:r>
        <w:rPr>
          <w:i/>
          <w:iCs/>
          <w:color w:val="595959"/>
          <w:sz w:val="20"/>
          <w:szCs w:val="20"/>
        </w:rPr>
        <w:t xml:space="preserve">Remittance inflows to western parishes up 38% YoY. Positive recovery indicator.</w:t>
      </w:r>
    </w:p>
    <w:p>
      <w:pPr>
        <w:spacing w:after="60" w:before="200"/>
      </w:pPr>
      <w:r>
        <w:rPr>
          <w:b/>
          <w:bCs/>
          <w:color w:val="C65911"/>
          <w:sz w:val="20"/>
          <w:szCs w:val="20"/>
        </w:rPr>
        <w:t xml:space="preserve">Executive summary line (from Head of Risk): 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Multiple low-grade signals across the portfolio. None yet meeting individual escalation thresholds.</w:t>
      </w:r>
    </w:p>
    <w:p>
      <w:r>
        <w:br w:type="page"/>
      </w:r>
    </w:p>
    <w:p>
      <w:pPr>
        <w:spacing w:after="160" w:before="0"/>
      </w:pPr>
      <w:r>
        <w:rPr>
          <w:b/>
          <w:bCs/>
          <w:color w:val="1F3864"/>
          <w:sz w:val="24"/>
          <w:szCs w:val="24"/>
        </w:rPr>
        <w:t xml:space="preserve">MONTH 4  —  RISK SIGNAL SUMMARY</w:t>
      </w:r>
    </w:p>
    <w:p>
      <w:pPr>
        <w:spacing w:after="80" w:before="120"/>
      </w:pPr>
      <w:r>
        <w:rPr>
          <w:b/>
          <w:bCs/>
          <w:color w:val="2E74B5"/>
          <w:sz w:val="22"/>
          <w:szCs w:val="22"/>
        </w:rPr>
        <w:t xml:space="preserve">Fraud Indicators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Loss rate (bps)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Key indicator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MoM change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0.09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Within range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+12.5%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Digital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0.29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ATO up 44% YoY; 62% remittance-linked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+20.8%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Velocity anomalies +22%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+15.4%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Fraud team: </w:t>
      </w:r>
      <w:r>
        <w:rPr>
          <w:i/>
          <w:iCs/>
          <w:color w:val="595959"/>
          <w:sz w:val="20"/>
          <w:szCs w:val="20"/>
        </w:rPr>
        <w:t xml:space="preserve">ATO concentration in remittance-linked accounts is now pronounced. Cross-channel investigation opened.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AML / KYC Alert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12-mo avg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Open alert backlog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691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568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440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True-positive rate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6.4%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7.2%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8.0%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Avg time-to-disposition (days)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11.2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7.0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SAR filings (this month)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Compliance: </w:t>
      </w:r>
      <w:r>
        <w:rPr>
          <w:i/>
          <w:iCs/>
          <w:color w:val="595959"/>
          <w:sz w:val="20"/>
          <w:szCs w:val="20"/>
        </w:rPr>
        <w:t xml:space="preserve">Backlog up 68% from Month 1. SAR filings down 18% MoM. New rules still tuning. Hiring requisitions submitted but not yet filled.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Portfolio Concentration — Western Parishes Lending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Western parish small-business exposure (% of book)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accounts opened in last 90 days (% of parish accounts)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24%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 velocity per account vs. GKFG average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2.1x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1.4x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Lending: </w:t>
      </w:r>
      <w:r>
        <w:rPr>
          <w:i/>
          <w:iCs/>
          <w:color w:val="595959"/>
          <w:sz w:val="20"/>
          <w:szCs w:val="20"/>
        </w:rPr>
        <w:t xml:space="preserve">New-account share now elevated. Velocity well above GKFG average. Lending team views as recovery momentum.</w:t>
      </w:r>
    </w:p>
    <w:p>
      <w:pPr>
        <w:spacing w:after="60" w:before="200"/>
      </w:pPr>
      <w:r>
        <w:rPr>
          <w:b/>
          <w:bCs/>
          <w:color w:val="C65911"/>
          <w:sz w:val="20"/>
          <w:szCs w:val="20"/>
        </w:rPr>
        <w:t xml:space="preserve">Executive summary line (from Head of Risk): 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Risk signals trending in the wrong direction across multiple categories. Requesting prioritized AML hiring approval.</w:t>
      </w:r>
    </w:p>
    <w:p>
      <w:r>
        <w:br w:type="page"/>
      </w:r>
    </w:p>
    <w:p>
      <w:pPr>
        <w:spacing w:after="160" w:before="0"/>
      </w:pPr>
      <w:r>
        <w:rPr>
          <w:b/>
          <w:bCs/>
          <w:color w:val="1F3864"/>
          <w:sz w:val="24"/>
          <w:szCs w:val="24"/>
        </w:rPr>
        <w:t xml:space="preserve">MONTH 5  —  RISK SIGNAL SUMMARY</w:t>
      </w:r>
    </w:p>
    <w:p>
      <w:pPr>
        <w:spacing w:after="80" w:before="120"/>
      </w:pPr>
      <w:r>
        <w:rPr>
          <w:b/>
          <w:bCs/>
          <w:color w:val="2E74B5"/>
          <w:sz w:val="22"/>
          <w:szCs w:val="22"/>
        </w:rPr>
        <w:t xml:space="preserve">Fraud Indicators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Loss rate (bps)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Key indicator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MoM change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0.09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Within range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0.0%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Digital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0.34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ATO 73% remittance-linked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+17.2%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</w:t>
            </w:r>
          </w:p>
        </w:tc>
        <w:tc>
          <w:tcPr>
            <w:tcW w:type="dxa" w:w="238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0.18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Velocity anomalies +37%</w:t>
            </w:r>
          </w:p>
        </w:tc>
        <w:tc>
          <w:tcPr>
            <w:tcW w:type="dxa" w:w="238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+20.0%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Fraud team: </w:t>
      </w:r>
      <w:r>
        <w:rPr>
          <w:i/>
          <w:iCs/>
          <w:color w:val="595959"/>
          <w:sz w:val="20"/>
          <w:szCs w:val="20"/>
        </w:rPr>
        <w:t xml:space="preserve">Digital fraud loss rate now 89% above Month 1 baseline. ATO-remittance correlation continues to tighten.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AML / KYC Alert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12-mo avg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Open alert backlog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824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691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468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True-positive rate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5.8%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6.4%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7.7%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Avg time-to-disposition (days)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14.6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11.2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7.7</w:t>
            </w:r>
          </w:p>
        </w:tc>
      </w:tr>
      <w:tr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SAR filings (this month)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Compliance: </w:t>
      </w:r>
      <w:r>
        <w:rPr>
          <w:i/>
          <w:iCs/>
          <w:color w:val="595959"/>
          <w:sz w:val="20"/>
          <w:szCs w:val="20"/>
        </w:rPr>
        <w:t xml:space="preserve">Backlog approaching 2x Month 1. SAR filings down further 22% MoM, 43% below 12-month average. Hiring still pending.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Portfolio Concentration — Western Parishes Lending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This month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 month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Western parish small-business exposure (% of book)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21%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accounts opened in last 90 days (% of parish accounts)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31%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24%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Remittance velocity per account vs. GKFG average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2.7x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2.1x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  <w:color w:val="595959"/>
          <w:sz w:val="20"/>
          <w:szCs w:val="20"/>
        </w:rPr>
        <w:t xml:space="preserve">Note from Lending: </w:t>
      </w:r>
      <w:r>
        <w:rPr>
          <w:i/>
          <w:iCs/>
          <w:color w:val="595959"/>
          <w:sz w:val="20"/>
          <w:szCs w:val="20"/>
        </w:rPr>
        <w:t xml:space="preserve">Lending pace strong. Recovery program viewed as on-track. 31% of parish accounts opened in last 90 days.</w:t>
      </w:r>
    </w:p>
    <w:p>
      <w:pPr>
        <w:spacing w:after="60" w:before="200"/>
      </w:pPr>
      <w:r>
        <w:rPr>
          <w:b/>
          <w:bCs/>
          <w:color w:val="C65911"/>
          <w:sz w:val="20"/>
          <w:szCs w:val="20"/>
        </w:rPr>
        <w:t xml:space="preserve">Executive summary line (from Head of Risk): 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Multiple risk metrics moving adversely. Recommending Risk Committee discussion at next meeting.</w:t>
      </w:r>
    </w:p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C00000"/>
        </w:rPr>
        <w:t xml:space="preserve">Now — Your Decision</w:t>
      </w:r>
    </w:p>
    <w:p>
      <w:pPr>
        <w:spacing w:after="80" w:before="80"/>
      </w:pPr>
      <w:r>
        <w:rPr>
          <w:b/>
          <w:bCs/>
        </w:rPr>
        <w:t xml:space="preserve">Working with your table for the next 10 minutes:</w:t>
      </w:r>
    </w:p>
    <w:p>
      <w:pPr>
        <w:pStyle w:val="ListParagraph"/>
        <w:numPr>
          <w:ilvl w:val="0"/>
          <w:numId w:val="2"/>
        </w:numPr>
      </w:pPr>
      <w:r>
        <w:t xml:space="preserve">Apply the Three Questions to each of the three signal categories: trend, composition, threshold.</w:t>
      </w:r>
    </w:p>
    <w:p>
      <w:pPr>
        <w:pStyle w:val="ListParagraph"/>
        <w:numPr>
          <w:ilvl w:val="0"/>
          <w:numId w:val="2"/>
        </w:numPr>
      </w:pPr>
      <w:r>
        <w:t xml:space="preserve">By the end of Month 5, what would your decision threshold have been? What would you have done?</w:t>
      </w:r>
    </w:p>
    <w:p>
      <w:pPr>
        <w:pStyle w:val="ListParagraph"/>
        <w:numPr>
          <w:ilvl w:val="0"/>
          <w:numId w:val="2"/>
        </w:numPr>
      </w:pPr>
      <w:r>
        <w:t xml:space="preserve">Which signal triggered your action — or did you wait?</w:t>
      </w:r>
    </w:p>
    <w:p>
      <w:pPr>
        <w:pStyle w:val="ListParagraph"/>
        <w:numPr>
          <w:ilvl w:val="0"/>
          <w:numId w:val="2"/>
        </w:numPr>
      </w:pPr>
      <w:r>
        <w:t xml:space="preserve">Capture your answers on the worksheet. Be specific.</w:t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i/>
          <w:iCs/>
          <w:color w:val="595959"/>
          <w:sz w:val="20"/>
          <w:szCs w:val="20"/>
        </w:rPr>
        <w:t xml:space="preserve">The trainer will reveal Month 6 in approximately 10 minutes.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GKFG DDDM Program  |  “The Signals Were There”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Monthly Risk Briefing  |  Module 7 Exercise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2026-05-05T01:55:42.692Z</dcterms:created>
  <dcterms:modified xsi:type="dcterms:W3CDTF">2026-05-05T01:55:42.692Z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