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56150" w14:textId="77777777" w:rsidR="00B02104" w:rsidRDefault="00CF7482">
      <w:r>
        <w:rPr>
          <w:b/>
          <w:bCs/>
          <w:color w:val="BF8F00"/>
          <w:sz w:val="20"/>
          <w:szCs w:val="20"/>
        </w:rPr>
        <w:t>ANALYST RECOMMENDATION BRIEF</w:t>
      </w:r>
    </w:p>
    <w:p w14:paraId="0F33333A" w14:textId="77777777" w:rsidR="00B02104" w:rsidRDefault="00CF7482">
      <w:pPr>
        <w:spacing w:after="240"/>
      </w:pPr>
      <w:r>
        <w:rPr>
          <w:i/>
          <w:iCs/>
          <w:color w:val="595959"/>
          <w:sz w:val="18"/>
          <w:szCs w:val="18"/>
        </w:rPr>
        <w:t>Internal — Strategic Initiative Review</w:t>
      </w:r>
    </w:p>
    <w:p w14:paraId="3A40E088" w14:textId="77777777" w:rsidR="00B02104" w:rsidRDefault="00CF7482">
      <w:pPr>
        <w:pStyle w:val="Heading1"/>
        <w:spacing w:before="0" w:after="160"/>
      </w:pPr>
      <w:r>
        <w:t>GK One Expansion to Trinidad &amp; Tobago</w:t>
      </w:r>
    </w:p>
    <w:p w14:paraId="65F29E8A" w14:textId="77777777" w:rsidR="00B02104" w:rsidRDefault="00CF7482">
      <w:pPr>
        <w:spacing w:after="240"/>
      </w:pPr>
      <w:r>
        <w:rPr>
          <w:i/>
          <w:iCs/>
          <w:color w:val="595959"/>
          <w:sz w:val="20"/>
          <w:szCs w:val="20"/>
        </w:rPr>
        <w:t xml:space="preserve">Prepared for: GKFG Executive </w:t>
      </w:r>
      <w:proofErr w:type="gramStart"/>
      <w:r>
        <w:rPr>
          <w:i/>
          <w:iCs/>
          <w:color w:val="595959"/>
          <w:sz w:val="20"/>
          <w:szCs w:val="20"/>
        </w:rPr>
        <w:t>Committee  |</w:t>
      </w:r>
      <w:proofErr w:type="gramEnd"/>
      <w:r>
        <w:rPr>
          <w:i/>
          <w:iCs/>
          <w:color w:val="595959"/>
          <w:sz w:val="20"/>
          <w:szCs w:val="20"/>
        </w:rPr>
        <w:t xml:space="preserve">  Prepared by: Strategy &amp; </w:t>
      </w:r>
      <w:proofErr w:type="gramStart"/>
      <w:r>
        <w:rPr>
          <w:i/>
          <w:iCs/>
          <w:color w:val="595959"/>
          <w:sz w:val="20"/>
          <w:szCs w:val="20"/>
        </w:rPr>
        <w:t>Analytics  |</w:t>
      </w:r>
      <w:proofErr w:type="gramEnd"/>
      <w:r>
        <w:rPr>
          <w:i/>
          <w:iCs/>
          <w:color w:val="595959"/>
          <w:sz w:val="20"/>
          <w:szCs w:val="20"/>
        </w:rPr>
        <w:t xml:space="preserve">  Confidence: High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2104" w14:paraId="573E44C0" w14:textId="77777777">
        <w:tblPrEx>
          <w:tblCellMar>
            <w:top w:w="0" w:type="dxa"/>
            <w:bottom w:w="0" w:type="dxa"/>
          </w:tblCellMar>
        </w:tblPrEx>
        <w:tc>
          <w:tcPr>
            <w:tcW w:w="9360" w:type="dxa"/>
            <w:tcBorders>
              <w:top w:val="single" w:sz="6" w:space="0" w:color="BFBFBF"/>
              <w:left w:val="single" w:sz="6" w:space="0" w:color="BFBFBF"/>
              <w:bottom w:val="single" w:sz="6" w:space="0" w:color="BFBFBF"/>
              <w:right w:val="single" w:sz="6" w:space="0" w:color="BFBFBF"/>
            </w:tcBorders>
            <w:shd w:val="clear" w:color="auto" w:fill="385723"/>
            <w:tcMar>
              <w:top w:w="100" w:type="dxa"/>
              <w:left w:w="140" w:type="dxa"/>
              <w:bottom w:w="100" w:type="dxa"/>
              <w:right w:w="140" w:type="dxa"/>
            </w:tcMar>
            <w:vAlign w:val="center"/>
          </w:tcPr>
          <w:p w14:paraId="27B90BDF" w14:textId="77777777" w:rsidR="00B02104" w:rsidRDefault="00CF7482">
            <w:pPr>
              <w:spacing w:after="80"/>
            </w:pPr>
            <w:r>
              <w:rPr>
                <w:b/>
                <w:bCs/>
                <w:color w:val="FFFFFF"/>
              </w:rPr>
              <w:t>RECOMMENDATION</w:t>
            </w:r>
          </w:p>
          <w:p w14:paraId="01092788" w14:textId="77777777" w:rsidR="00B02104" w:rsidRDefault="00CF7482">
            <w:r>
              <w:rPr>
                <w:color w:val="FFFFFF"/>
              </w:rPr>
              <w:t>Approve a 24-month phased launch of GK One in Trinidad &amp; Tobago, with full marketing rollout in Quarter 2 of Year 1. Five-year NPV: +US$14.2M. Payback: month 22.</w:t>
            </w:r>
          </w:p>
        </w:tc>
      </w:tr>
    </w:tbl>
    <w:p w14:paraId="0AE06A5F" w14:textId="77777777" w:rsidR="00B02104" w:rsidRDefault="00B02104">
      <w:pPr>
        <w:spacing w:before="60" w:after="60"/>
      </w:pPr>
    </w:p>
    <w:p w14:paraId="5E5D7DAD" w14:textId="77777777" w:rsidR="00B02104" w:rsidRDefault="00CF7482">
      <w:pPr>
        <w:pStyle w:val="Heading2"/>
      </w:pPr>
      <w:r>
        <w:t>Strategic Rationale</w:t>
      </w:r>
    </w:p>
    <w:p w14:paraId="43AB3468" w14:textId="77777777" w:rsidR="00B02104" w:rsidRDefault="00CF7482">
      <w:pPr>
        <w:spacing w:before="80" w:after="80"/>
      </w:pPr>
      <w:r>
        <w:t>Trinidad &amp; Tobago represents the next logical extension of the GK One platform following the successful Jamaica launch. The market shows favorable demographics, rising smartphone penetration, and an underserved digital banking segment that competitors have not yet captured at scale. Our GKFG presence in T&amp;T through GKMS provides existing brand recognition and a customer foothold for activation.</w:t>
      </w:r>
    </w:p>
    <w:p w14:paraId="1A065C77" w14:textId="77777777" w:rsidR="00B02104" w:rsidRDefault="00CF7482">
      <w:pPr>
        <w:pStyle w:val="Heading2"/>
      </w:pPr>
      <w:r>
        <w:t>Market Sizing</w:t>
      </w:r>
    </w:p>
    <w:p w14:paraId="0115FD2D" w14:textId="77777777" w:rsidR="00B02104" w:rsidRDefault="00CF7482">
      <w:pPr>
        <w:pStyle w:val="ListParagraph"/>
        <w:numPr>
          <w:ilvl w:val="0"/>
          <w:numId w:val="2"/>
        </w:numPr>
      </w:pPr>
      <w:r>
        <w:t>Addressable population: 1.39 million adults</w:t>
      </w:r>
    </w:p>
    <w:p w14:paraId="439E66D0" w14:textId="77777777" w:rsidR="00B02104" w:rsidRDefault="00CF7482">
      <w:pPr>
        <w:pStyle w:val="ListParagraph"/>
        <w:numPr>
          <w:ilvl w:val="0"/>
          <w:numId w:val="2"/>
        </w:numPr>
      </w:pPr>
      <w:r>
        <w:t>Smartphone penetration: 76%</w:t>
      </w:r>
    </w:p>
    <w:p w14:paraId="2EDB0DA2" w14:textId="77777777" w:rsidR="00B02104" w:rsidRDefault="00CF7482">
      <w:pPr>
        <w:pStyle w:val="ListParagraph"/>
        <w:numPr>
          <w:ilvl w:val="0"/>
          <w:numId w:val="2"/>
        </w:numPr>
      </w:pPr>
      <w:r>
        <w:t>Underbanked or digital-curious segment (estimated): 290,000</w:t>
      </w:r>
    </w:p>
    <w:p w14:paraId="24A6DD84" w14:textId="77777777" w:rsidR="00B02104" w:rsidRDefault="00CF7482">
      <w:pPr>
        <w:pStyle w:val="ListParagraph"/>
        <w:numPr>
          <w:ilvl w:val="0"/>
          <w:numId w:val="2"/>
        </w:numPr>
      </w:pPr>
      <w:r>
        <w:t>Year-5 target customer base: 145,000 active users (50% of the addressable digital segment)</w:t>
      </w:r>
    </w:p>
    <w:p w14:paraId="308CC661" w14:textId="77777777" w:rsidR="00B02104" w:rsidRDefault="00CF7482">
      <w:pPr>
        <w:pStyle w:val="Heading2"/>
      </w:pPr>
      <w:r>
        <w:t>Financial Projection (Five-Year Base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500"/>
        <w:gridCol w:w="1500"/>
        <w:gridCol w:w="1500"/>
        <w:gridCol w:w="1500"/>
      </w:tblGrid>
      <w:tr w:rsidR="00B02104" w14:paraId="7E6D1B00" w14:textId="77777777">
        <w:tblPrEx>
          <w:tblCellMar>
            <w:top w:w="0" w:type="dxa"/>
            <w:bottom w:w="0" w:type="dxa"/>
          </w:tblCellMar>
        </w:tblPrEx>
        <w:trPr>
          <w:tblHeader/>
        </w:trPr>
        <w:tc>
          <w:tcPr>
            <w:tcW w:w="336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23A33E46" w14:textId="77777777" w:rsidR="00B02104" w:rsidRDefault="00CF7482">
            <w:r>
              <w:rPr>
                <w:b/>
                <w:bCs/>
                <w:color w:val="FFFFFF"/>
              </w:rPr>
              <w:t>Metric</w:t>
            </w:r>
          </w:p>
        </w:tc>
        <w:tc>
          <w:tcPr>
            <w:tcW w:w="150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4898BE66" w14:textId="77777777" w:rsidR="00B02104" w:rsidRDefault="00CF7482">
            <w:pPr>
              <w:jc w:val="center"/>
            </w:pPr>
            <w:r>
              <w:rPr>
                <w:b/>
                <w:bCs/>
                <w:color w:val="FFFFFF"/>
              </w:rPr>
              <w:t>Year 1</w:t>
            </w:r>
          </w:p>
        </w:tc>
        <w:tc>
          <w:tcPr>
            <w:tcW w:w="150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26CD2706" w14:textId="77777777" w:rsidR="00B02104" w:rsidRDefault="00CF7482">
            <w:pPr>
              <w:jc w:val="center"/>
            </w:pPr>
            <w:r>
              <w:rPr>
                <w:b/>
                <w:bCs/>
                <w:color w:val="FFFFFF"/>
              </w:rPr>
              <w:t>Year 2</w:t>
            </w:r>
          </w:p>
        </w:tc>
        <w:tc>
          <w:tcPr>
            <w:tcW w:w="150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275ECE19" w14:textId="77777777" w:rsidR="00B02104" w:rsidRDefault="00CF7482">
            <w:pPr>
              <w:jc w:val="center"/>
            </w:pPr>
            <w:r>
              <w:rPr>
                <w:b/>
                <w:bCs/>
                <w:color w:val="FFFFFF"/>
              </w:rPr>
              <w:t>Year 3</w:t>
            </w:r>
          </w:p>
        </w:tc>
        <w:tc>
          <w:tcPr>
            <w:tcW w:w="150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7B156268" w14:textId="77777777" w:rsidR="00B02104" w:rsidRDefault="00CF7482">
            <w:pPr>
              <w:jc w:val="center"/>
            </w:pPr>
            <w:r>
              <w:rPr>
                <w:b/>
                <w:bCs/>
                <w:color w:val="FFFFFF"/>
              </w:rPr>
              <w:t>Year 5</w:t>
            </w:r>
          </w:p>
        </w:tc>
      </w:tr>
      <w:tr w:rsidR="00B02104" w14:paraId="29BA66E2" w14:textId="77777777">
        <w:tblPrEx>
          <w:tblCellMar>
            <w:top w:w="0" w:type="dxa"/>
            <w:bottom w:w="0" w:type="dxa"/>
          </w:tblCellMar>
        </w:tblPrEx>
        <w:tc>
          <w:tcPr>
            <w:tcW w:w="33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3AB1CC81" w14:textId="77777777" w:rsidR="00B02104" w:rsidRDefault="00CF7482">
            <w:r>
              <w:t>Active users (000s)</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51FF544B" w14:textId="77777777" w:rsidR="00B02104" w:rsidRDefault="00CF7482">
            <w:pPr>
              <w:jc w:val="center"/>
            </w:pPr>
            <w:r>
              <w:t>28</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4B519C82" w14:textId="77777777" w:rsidR="00B02104" w:rsidRDefault="00CF7482">
            <w:pPr>
              <w:jc w:val="center"/>
            </w:pPr>
            <w:r>
              <w:t>64</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14EE0A36" w14:textId="77777777" w:rsidR="00B02104" w:rsidRDefault="00CF7482">
            <w:pPr>
              <w:jc w:val="center"/>
            </w:pPr>
            <w:r>
              <w:t>98</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0B0A6B13" w14:textId="77777777" w:rsidR="00B02104" w:rsidRDefault="00CF7482">
            <w:pPr>
              <w:jc w:val="center"/>
            </w:pPr>
            <w:r>
              <w:t>145</w:t>
            </w:r>
          </w:p>
        </w:tc>
      </w:tr>
      <w:tr w:rsidR="00B02104" w14:paraId="761A9BA7" w14:textId="77777777">
        <w:tblPrEx>
          <w:tblCellMar>
            <w:top w:w="0" w:type="dxa"/>
            <w:bottom w:w="0" w:type="dxa"/>
          </w:tblCellMar>
        </w:tblPrEx>
        <w:tc>
          <w:tcPr>
            <w:tcW w:w="33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6F09C1AB" w14:textId="77777777" w:rsidR="00B02104" w:rsidRDefault="00CF7482">
            <w:r>
              <w:t>Avg. transactions / user / month</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6457A798" w14:textId="77777777" w:rsidR="00B02104" w:rsidRDefault="00CF7482">
            <w:pPr>
              <w:jc w:val="center"/>
            </w:pPr>
            <w:r>
              <w:t>5.2</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11C55068" w14:textId="77777777" w:rsidR="00B02104" w:rsidRDefault="00CF7482">
            <w:pPr>
              <w:jc w:val="center"/>
            </w:pPr>
            <w:r>
              <w:t>5.8</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59AA659E" w14:textId="77777777" w:rsidR="00B02104" w:rsidRDefault="00CF7482">
            <w:pPr>
              <w:jc w:val="center"/>
            </w:pPr>
            <w:r>
              <w:t>6.1</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7909554E" w14:textId="77777777" w:rsidR="00B02104" w:rsidRDefault="00CF7482">
            <w:pPr>
              <w:jc w:val="center"/>
            </w:pPr>
            <w:r>
              <w:t>6.4</w:t>
            </w:r>
          </w:p>
        </w:tc>
      </w:tr>
      <w:tr w:rsidR="00B02104" w14:paraId="620E20B3" w14:textId="77777777">
        <w:tblPrEx>
          <w:tblCellMar>
            <w:top w:w="0" w:type="dxa"/>
            <w:bottom w:w="0" w:type="dxa"/>
          </w:tblCellMar>
        </w:tblPrEx>
        <w:tc>
          <w:tcPr>
            <w:tcW w:w="33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75D23B7E" w14:textId="77777777" w:rsidR="00B02104" w:rsidRDefault="00CF7482">
            <w:r>
              <w:t>Revenue (US$M)</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1D414B49" w14:textId="77777777" w:rsidR="00B02104" w:rsidRDefault="00CF7482">
            <w:pPr>
              <w:jc w:val="center"/>
            </w:pPr>
            <w:r>
              <w:t>2.1</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6CF1E265" w14:textId="77777777" w:rsidR="00B02104" w:rsidRDefault="00CF7482">
            <w:pPr>
              <w:jc w:val="center"/>
            </w:pPr>
            <w:r>
              <w:t>5.8</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16872359" w14:textId="77777777" w:rsidR="00B02104" w:rsidRDefault="00CF7482">
            <w:pPr>
              <w:jc w:val="center"/>
            </w:pPr>
            <w:r>
              <w:t>9.6</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5963BB1D" w14:textId="77777777" w:rsidR="00B02104" w:rsidRDefault="00CF7482">
            <w:pPr>
              <w:jc w:val="center"/>
            </w:pPr>
            <w:r>
              <w:t>16.4</w:t>
            </w:r>
          </w:p>
        </w:tc>
      </w:tr>
      <w:tr w:rsidR="00B02104" w14:paraId="3D77894E" w14:textId="77777777">
        <w:tblPrEx>
          <w:tblCellMar>
            <w:top w:w="0" w:type="dxa"/>
            <w:bottom w:w="0" w:type="dxa"/>
          </w:tblCellMar>
        </w:tblPrEx>
        <w:tc>
          <w:tcPr>
            <w:tcW w:w="33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530952B6" w14:textId="77777777" w:rsidR="00B02104" w:rsidRDefault="00CF7482">
            <w:r>
              <w:t>Operating costs (US$M)</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27B6E83C" w14:textId="77777777" w:rsidR="00B02104" w:rsidRDefault="00CF7482">
            <w:pPr>
              <w:jc w:val="center"/>
            </w:pPr>
            <w:r>
              <w:t>3.4</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2EF810A7" w14:textId="77777777" w:rsidR="00B02104" w:rsidRDefault="00CF7482">
            <w:pPr>
              <w:jc w:val="center"/>
            </w:pPr>
            <w:r>
              <w:t>4.1</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7DA39BC0" w14:textId="77777777" w:rsidR="00B02104" w:rsidRDefault="00CF7482">
            <w:pPr>
              <w:jc w:val="center"/>
            </w:pPr>
            <w:r>
              <w:t>4.8</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089B00BA" w14:textId="77777777" w:rsidR="00B02104" w:rsidRDefault="00CF7482">
            <w:pPr>
              <w:jc w:val="center"/>
            </w:pPr>
            <w:r>
              <w:t>6.2</w:t>
            </w:r>
          </w:p>
        </w:tc>
      </w:tr>
      <w:tr w:rsidR="00B02104" w14:paraId="48AC9056" w14:textId="77777777">
        <w:tblPrEx>
          <w:tblCellMar>
            <w:top w:w="0" w:type="dxa"/>
            <w:bottom w:w="0" w:type="dxa"/>
          </w:tblCellMar>
        </w:tblPrEx>
        <w:tc>
          <w:tcPr>
            <w:tcW w:w="3360" w:type="dxa"/>
            <w:tcBorders>
              <w:top w:val="single" w:sz="6" w:space="0" w:color="BFBFBF"/>
              <w:left w:val="single" w:sz="6" w:space="0" w:color="BFBFBF"/>
              <w:bottom w:val="single" w:sz="6" w:space="0" w:color="BFBFBF"/>
              <w:right w:val="single" w:sz="6" w:space="0" w:color="BFBFBF"/>
            </w:tcBorders>
            <w:shd w:val="clear" w:color="auto" w:fill="E2EFDA"/>
            <w:tcMar>
              <w:top w:w="100" w:type="dxa"/>
              <w:left w:w="140" w:type="dxa"/>
              <w:bottom w:w="100" w:type="dxa"/>
              <w:right w:w="140" w:type="dxa"/>
            </w:tcMar>
            <w:vAlign w:val="center"/>
          </w:tcPr>
          <w:p w14:paraId="2DDB55D8" w14:textId="77777777" w:rsidR="00B02104" w:rsidRDefault="00CF7482">
            <w:r>
              <w:rPr>
                <w:b/>
                <w:bCs/>
              </w:rPr>
              <w:t>Net contribution (US$M)</w:t>
            </w:r>
          </w:p>
        </w:tc>
        <w:tc>
          <w:tcPr>
            <w:tcW w:w="1500" w:type="dxa"/>
            <w:tcBorders>
              <w:top w:val="single" w:sz="6" w:space="0" w:color="BFBFBF"/>
              <w:left w:val="single" w:sz="6" w:space="0" w:color="BFBFBF"/>
              <w:bottom w:val="single" w:sz="6" w:space="0" w:color="BFBFBF"/>
              <w:right w:val="single" w:sz="6" w:space="0" w:color="BFBFBF"/>
            </w:tcBorders>
            <w:shd w:val="clear" w:color="auto" w:fill="E2EFDA"/>
            <w:tcMar>
              <w:top w:w="100" w:type="dxa"/>
              <w:left w:w="140" w:type="dxa"/>
              <w:bottom w:w="100" w:type="dxa"/>
              <w:right w:w="140" w:type="dxa"/>
            </w:tcMar>
            <w:vAlign w:val="center"/>
          </w:tcPr>
          <w:p w14:paraId="52791782" w14:textId="77777777" w:rsidR="00B02104" w:rsidRDefault="00CF7482">
            <w:pPr>
              <w:jc w:val="center"/>
            </w:pPr>
            <w:r>
              <w:t>(1.3)</w:t>
            </w:r>
          </w:p>
        </w:tc>
        <w:tc>
          <w:tcPr>
            <w:tcW w:w="1500" w:type="dxa"/>
            <w:tcBorders>
              <w:top w:val="single" w:sz="6" w:space="0" w:color="BFBFBF"/>
              <w:left w:val="single" w:sz="6" w:space="0" w:color="BFBFBF"/>
              <w:bottom w:val="single" w:sz="6" w:space="0" w:color="BFBFBF"/>
              <w:right w:val="single" w:sz="6" w:space="0" w:color="BFBFBF"/>
            </w:tcBorders>
            <w:shd w:val="clear" w:color="auto" w:fill="E2EFDA"/>
            <w:tcMar>
              <w:top w:w="100" w:type="dxa"/>
              <w:left w:w="140" w:type="dxa"/>
              <w:bottom w:w="100" w:type="dxa"/>
              <w:right w:w="140" w:type="dxa"/>
            </w:tcMar>
            <w:vAlign w:val="center"/>
          </w:tcPr>
          <w:p w14:paraId="0A87C07A" w14:textId="77777777" w:rsidR="00B02104" w:rsidRDefault="00CF7482">
            <w:pPr>
              <w:jc w:val="center"/>
            </w:pPr>
            <w:r>
              <w:t>1.7</w:t>
            </w:r>
          </w:p>
        </w:tc>
        <w:tc>
          <w:tcPr>
            <w:tcW w:w="1500" w:type="dxa"/>
            <w:tcBorders>
              <w:top w:val="single" w:sz="6" w:space="0" w:color="BFBFBF"/>
              <w:left w:val="single" w:sz="6" w:space="0" w:color="BFBFBF"/>
              <w:bottom w:val="single" w:sz="6" w:space="0" w:color="BFBFBF"/>
              <w:right w:val="single" w:sz="6" w:space="0" w:color="BFBFBF"/>
            </w:tcBorders>
            <w:shd w:val="clear" w:color="auto" w:fill="E2EFDA"/>
            <w:tcMar>
              <w:top w:w="100" w:type="dxa"/>
              <w:left w:w="140" w:type="dxa"/>
              <w:bottom w:w="100" w:type="dxa"/>
              <w:right w:w="140" w:type="dxa"/>
            </w:tcMar>
            <w:vAlign w:val="center"/>
          </w:tcPr>
          <w:p w14:paraId="14EFD187" w14:textId="77777777" w:rsidR="00B02104" w:rsidRDefault="00CF7482">
            <w:pPr>
              <w:jc w:val="center"/>
            </w:pPr>
            <w:r>
              <w:t>4.8</w:t>
            </w:r>
          </w:p>
        </w:tc>
        <w:tc>
          <w:tcPr>
            <w:tcW w:w="1500" w:type="dxa"/>
            <w:tcBorders>
              <w:top w:val="single" w:sz="6" w:space="0" w:color="BFBFBF"/>
              <w:left w:val="single" w:sz="6" w:space="0" w:color="BFBFBF"/>
              <w:bottom w:val="single" w:sz="6" w:space="0" w:color="BFBFBF"/>
              <w:right w:val="single" w:sz="6" w:space="0" w:color="BFBFBF"/>
            </w:tcBorders>
            <w:shd w:val="clear" w:color="auto" w:fill="E2EFDA"/>
            <w:tcMar>
              <w:top w:w="100" w:type="dxa"/>
              <w:left w:w="140" w:type="dxa"/>
              <w:bottom w:w="100" w:type="dxa"/>
              <w:right w:w="140" w:type="dxa"/>
            </w:tcMar>
            <w:vAlign w:val="center"/>
          </w:tcPr>
          <w:p w14:paraId="4F45ED47" w14:textId="77777777" w:rsidR="00B02104" w:rsidRDefault="00CF7482">
            <w:pPr>
              <w:jc w:val="center"/>
            </w:pPr>
            <w:r>
              <w:rPr>
                <w:b/>
                <w:bCs/>
              </w:rPr>
              <w:t>10.2</w:t>
            </w:r>
          </w:p>
        </w:tc>
      </w:tr>
    </w:tbl>
    <w:p w14:paraId="1F2A2164" w14:textId="77777777" w:rsidR="00B02104" w:rsidRDefault="00CF7482">
      <w:pPr>
        <w:pStyle w:val="Heading2"/>
      </w:pPr>
      <w:r>
        <w:t>Key Modelling Inputs</w:t>
      </w:r>
    </w:p>
    <w:p w14:paraId="2E4FAD41" w14:textId="77777777" w:rsidR="00B02104" w:rsidRDefault="00CF7482">
      <w:pPr>
        <w:pStyle w:val="ListParagraph"/>
        <w:numPr>
          <w:ilvl w:val="0"/>
          <w:numId w:val="2"/>
        </w:numPr>
      </w:pPr>
      <w:r>
        <w:t>Monthly active user growth rate: 8.0% MoM (mirrors Jamaica launch curve, months 1–18)</w:t>
      </w:r>
    </w:p>
    <w:p w14:paraId="41B66BBB" w14:textId="77777777" w:rsidR="00B02104" w:rsidRDefault="00CF7482">
      <w:pPr>
        <w:pStyle w:val="ListParagraph"/>
        <w:numPr>
          <w:ilvl w:val="0"/>
          <w:numId w:val="2"/>
        </w:numPr>
      </w:pPr>
      <w:r>
        <w:t>Average transactions per active user, mature: 6.4 / month (Jamaica current state)</w:t>
      </w:r>
    </w:p>
    <w:p w14:paraId="0E4FCBF7" w14:textId="77777777" w:rsidR="00B02104" w:rsidRDefault="00CF7482">
      <w:pPr>
        <w:pStyle w:val="ListParagraph"/>
        <w:numPr>
          <w:ilvl w:val="0"/>
          <w:numId w:val="2"/>
        </w:numPr>
      </w:pPr>
      <w:r>
        <w:t>Customer acquisition cost: US$11 per active user (digital-led acquisition)</w:t>
      </w:r>
    </w:p>
    <w:p w14:paraId="26506CD8" w14:textId="77777777" w:rsidR="00B02104" w:rsidRDefault="00CF7482">
      <w:pPr>
        <w:pStyle w:val="ListParagraph"/>
        <w:numPr>
          <w:ilvl w:val="0"/>
          <w:numId w:val="2"/>
        </w:numPr>
      </w:pPr>
      <w:r>
        <w:t>Average revenue per transaction: US$0.42 (blended)</w:t>
      </w:r>
    </w:p>
    <w:p w14:paraId="766C5117" w14:textId="77777777" w:rsidR="00B02104" w:rsidRDefault="00CF7482">
      <w:pPr>
        <w:pStyle w:val="ListParagraph"/>
        <w:numPr>
          <w:ilvl w:val="0"/>
          <w:numId w:val="2"/>
        </w:numPr>
      </w:pPr>
      <w:r>
        <w:t>Operating cost: US$3.4M Year 1, scaling at 18% per year</w:t>
      </w:r>
    </w:p>
    <w:p w14:paraId="346FC928" w14:textId="77777777" w:rsidR="00B02104" w:rsidRDefault="00CF7482">
      <w:pPr>
        <w:pStyle w:val="ListParagraph"/>
        <w:numPr>
          <w:ilvl w:val="0"/>
          <w:numId w:val="2"/>
        </w:numPr>
      </w:pPr>
      <w:r>
        <w:t>Discount rate: 11.5% (GKFG strategic-investment hurdle)</w:t>
      </w:r>
    </w:p>
    <w:p w14:paraId="3F84C94A" w14:textId="77777777" w:rsidR="00B02104" w:rsidRDefault="00CF7482">
      <w:pPr>
        <w:pStyle w:val="Heading2"/>
      </w:pPr>
      <w:r>
        <w:t>Risks</w:t>
      </w:r>
    </w:p>
    <w:p w14:paraId="642AF9D7" w14:textId="77777777" w:rsidR="00B02104" w:rsidRDefault="00CF7482">
      <w:pPr>
        <w:pStyle w:val="ListParagraph"/>
        <w:numPr>
          <w:ilvl w:val="0"/>
          <w:numId w:val="2"/>
        </w:numPr>
      </w:pPr>
      <w:r>
        <w:lastRenderedPageBreak/>
        <w:t>Regulatory approval timing in T&amp;T may shift Quarter 1 launch by 60–90 days. Mitigation: parallel licensing track underway.</w:t>
      </w:r>
    </w:p>
    <w:p w14:paraId="5FBFA4C4" w14:textId="77777777" w:rsidR="00B02104" w:rsidRDefault="00CF7482">
      <w:pPr>
        <w:pStyle w:val="ListParagraph"/>
        <w:numPr>
          <w:ilvl w:val="0"/>
          <w:numId w:val="2"/>
        </w:numPr>
      </w:pPr>
      <w:r>
        <w:t>Currency exposure: TTD/USD depreciation could compress margin. Mitigation: hedging program.</w:t>
      </w:r>
    </w:p>
    <w:p w14:paraId="5620D01D" w14:textId="77777777" w:rsidR="00B02104" w:rsidRDefault="00CF7482">
      <w:pPr>
        <w:pStyle w:val="ListParagraph"/>
        <w:numPr>
          <w:ilvl w:val="0"/>
          <w:numId w:val="2"/>
        </w:numPr>
      </w:pPr>
      <w:r>
        <w:t>Competitive response from Republic Bank and Scotia: assumed muted in Year 1, intensifying Year 2.</w:t>
      </w:r>
    </w:p>
    <w:p w14:paraId="43DCCB5E" w14:textId="77777777" w:rsidR="00B02104" w:rsidRDefault="00CF7482">
      <w:pPr>
        <w:pStyle w:val="Heading2"/>
      </w:pPr>
      <w:r>
        <w:t>Decision Requested</w:t>
      </w:r>
    </w:p>
    <w:p w14:paraId="08729F08" w14:textId="77777777" w:rsidR="00B02104" w:rsidRDefault="00CF7482">
      <w:pPr>
        <w:spacing w:before="80" w:after="80"/>
      </w:pPr>
      <w:r>
        <w:t>Approval to proceed with the 24-month launch plan as scoped, with US$8.4M total investment authorization and quarterly progress review.</w:t>
      </w:r>
    </w:p>
    <w:p w14:paraId="304BAD21" w14:textId="1AA384E9" w:rsidR="00B02104" w:rsidRDefault="00B02104"/>
    <w:sectPr w:rsidR="00B0210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B18A5" w14:textId="77777777" w:rsidR="00CF7482" w:rsidRDefault="00CF7482">
      <w:r>
        <w:separator/>
      </w:r>
    </w:p>
  </w:endnote>
  <w:endnote w:type="continuationSeparator" w:id="0">
    <w:p w14:paraId="376CFACA" w14:textId="77777777" w:rsidR="00CF7482" w:rsidRDefault="00CF74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1C294" w14:textId="77777777" w:rsidR="00B02104" w:rsidRDefault="00CF7482">
    <w:pPr>
      <w:jc w:val="center"/>
    </w:pPr>
    <w:r>
      <w:rPr>
        <w:color w:val="595959"/>
        <w:sz w:val="18"/>
        <w:szCs w:val="18"/>
      </w:rPr>
      <w:t xml:space="preserve">GKFG DDDM </w:t>
    </w:r>
    <w:proofErr w:type="gramStart"/>
    <w:r>
      <w:rPr>
        <w:color w:val="595959"/>
        <w:sz w:val="18"/>
        <w:szCs w:val="18"/>
      </w:rPr>
      <w:t>Program  |</w:t>
    </w:r>
    <w:proofErr w:type="gramEnd"/>
    <w:r>
      <w:rPr>
        <w:color w:val="595959"/>
        <w:sz w:val="18"/>
        <w:szCs w:val="18"/>
      </w:rPr>
      <w:t xml:space="preserve">  Module 6 — Three Assumptions </w:t>
    </w:r>
    <w:proofErr w:type="gramStart"/>
    <w:r>
      <w:rPr>
        <w:color w:val="595959"/>
        <w:sz w:val="18"/>
        <w:szCs w:val="18"/>
      </w:rPr>
      <w:t>Exercise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DE363C">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79B50" w14:textId="77777777" w:rsidR="00CF7482" w:rsidRDefault="00CF7482">
      <w:r>
        <w:separator/>
      </w:r>
    </w:p>
  </w:footnote>
  <w:footnote w:type="continuationSeparator" w:id="0">
    <w:p w14:paraId="1F4AB95A" w14:textId="77777777" w:rsidR="00CF7482" w:rsidRDefault="00CF74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6281F" w14:textId="77777777" w:rsidR="00B02104" w:rsidRDefault="00CF7482">
    <w:pPr>
      <w:jc w:val="right"/>
    </w:pPr>
    <w:r>
      <w:rPr>
        <w:color w:val="595959"/>
        <w:sz w:val="18"/>
        <w:szCs w:val="18"/>
      </w:rPr>
      <w:t xml:space="preserve">Scenario </w:t>
    </w:r>
    <w:proofErr w:type="gramStart"/>
    <w:r>
      <w:rPr>
        <w:color w:val="595959"/>
        <w:sz w:val="18"/>
        <w:szCs w:val="18"/>
      </w:rPr>
      <w:t>1  |</w:t>
    </w:r>
    <w:proofErr w:type="gramEnd"/>
    <w:r>
      <w:rPr>
        <w:color w:val="595959"/>
        <w:sz w:val="18"/>
        <w:szCs w:val="18"/>
      </w:rPr>
      <w:t xml:space="preserve">  GK One T&amp;T Expansion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77F72"/>
    <w:multiLevelType w:val="hybridMultilevel"/>
    <w:tmpl w:val="F48E6FD8"/>
    <w:lvl w:ilvl="0" w:tplc="339414C4">
      <w:start w:val="1"/>
      <w:numFmt w:val="bullet"/>
      <w:lvlText w:val="●"/>
      <w:lvlJc w:val="left"/>
      <w:pPr>
        <w:ind w:left="720" w:hanging="360"/>
      </w:pPr>
    </w:lvl>
    <w:lvl w:ilvl="1" w:tplc="FCBA3596">
      <w:start w:val="1"/>
      <w:numFmt w:val="bullet"/>
      <w:lvlText w:val="○"/>
      <w:lvlJc w:val="left"/>
      <w:pPr>
        <w:ind w:left="1440" w:hanging="360"/>
      </w:pPr>
    </w:lvl>
    <w:lvl w:ilvl="2" w:tplc="0E308350">
      <w:start w:val="1"/>
      <w:numFmt w:val="bullet"/>
      <w:lvlText w:val="■"/>
      <w:lvlJc w:val="left"/>
      <w:pPr>
        <w:ind w:left="2160" w:hanging="360"/>
      </w:pPr>
    </w:lvl>
    <w:lvl w:ilvl="3" w:tplc="0A9C746C">
      <w:start w:val="1"/>
      <w:numFmt w:val="bullet"/>
      <w:lvlText w:val="●"/>
      <w:lvlJc w:val="left"/>
      <w:pPr>
        <w:ind w:left="2880" w:hanging="360"/>
      </w:pPr>
    </w:lvl>
    <w:lvl w:ilvl="4" w:tplc="C59A33E0">
      <w:start w:val="1"/>
      <w:numFmt w:val="bullet"/>
      <w:lvlText w:val="○"/>
      <w:lvlJc w:val="left"/>
      <w:pPr>
        <w:ind w:left="3600" w:hanging="360"/>
      </w:pPr>
    </w:lvl>
    <w:lvl w:ilvl="5" w:tplc="6478DFEE">
      <w:start w:val="1"/>
      <w:numFmt w:val="bullet"/>
      <w:lvlText w:val="■"/>
      <w:lvlJc w:val="left"/>
      <w:pPr>
        <w:ind w:left="4320" w:hanging="360"/>
      </w:pPr>
    </w:lvl>
    <w:lvl w:ilvl="6" w:tplc="629C7494">
      <w:start w:val="1"/>
      <w:numFmt w:val="bullet"/>
      <w:lvlText w:val="●"/>
      <w:lvlJc w:val="left"/>
      <w:pPr>
        <w:ind w:left="5040" w:hanging="360"/>
      </w:pPr>
    </w:lvl>
    <w:lvl w:ilvl="7" w:tplc="F740E3EE">
      <w:start w:val="1"/>
      <w:numFmt w:val="bullet"/>
      <w:lvlText w:val="●"/>
      <w:lvlJc w:val="left"/>
      <w:pPr>
        <w:ind w:left="5760" w:hanging="360"/>
      </w:pPr>
    </w:lvl>
    <w:lvl w:ilvl="8" w:tplc="D7185378">
      <w:start w:val="1"/>
      <w:numFmt w:val="bullet"/>
      <w:lvlText w:val="●"/>
      <w:lvlJc w:val="left"/>
      <w:pPr>
        <w:ind w:left="6480" w:hanging="360"/>
      </w:pPr>
    </w:lvl>
  </w:abstractNum>
  <w:abstractNum w:abstractNumId="1" w15:restartNumberingAfterBreak="0">
    <w:nsid w:val="20551DC2"/>
    <w:multiLevelType w:val="hybridMultilevel"/>
    <w:tmpl w:val="83E8D91E"/>
    <w:lvl w:ilvl="0" w:tplc="D3DC20C4">
      <w:start w:val="1"/>
      <w:numFmt w:val="decimal"/>
      <w:lvlText w:val="%1."/>
      <w:lvlJc w:val="left"/>
      <w:pPr>
        <w:ind w:left="720" w:hanging="360"/>
      </w:pPr>
    </w:lvl>
    <w:lvl w:ilvl="1" w:tplc="634CCE5A">
      <w:start w:val="1"/>
      <w:numFmt w:val="lowerLetter"/>
      <w:lvlText w:val="%2."/>
      <w:lvlJc w:val="left"/>
      <w:pPr>
        <w:ind w:left="1440" w:hanging="360"/>
      </w:pPr>
    </w:lvl>
    <w:lvl w:ilvl="2" w:tplc="08AAA216">
      <w:numFmt w:val="decimal"/>
      <w:lvlText w:val=""/>
      <w:lvlJc w:val="left"/>
    </w:lvl>
    <w:lvl w:ilvl="3" w:tplc="B3BA949E">
      <w:numFmt w:val="decimal"/>
      <w:lvlText w:val=""/>
      <w:lvlJc w:val="left"/>
    </w:lvl>
    <w:lvl w:ilvl="4" w:tplc="0B3E8C20">
      <w:numFmt w:val="decimal"/>
      <w:lvlText w:val=""/>
      <w:lvlJc w:val="left"/>
    </w:lvl>
    <w:lvl w:ilvl="5" w:tplc="37D2E26E">
      <w:numFmt w:val="decimal"/>
      <w:lvlText w:val=""/>
      <w:lvlJc w:val="left"/>
    </w:lvl>
    <w:lvl w:ilvl="6" w:tplc="412E037C">
      <w:numFmt w:val="decimal"/>
      <w:lvlText w:val=""/>
      <w:lvlJc w:val="left"/>
    </w:lvl>
    <w:lvl w:ilvl="7" w:tplc="1346C232">
      <w:numFmt w:val="decimal"/>
      <w:lvlText w:val=""/>
      <w:lvlJc w:val="left"/>
    </w:lvl>
    <w:lvl w:ilvl="8" w:tplc="90FEFE34">
      <w:numFmt w:val="decimal"/>
      <w:lvlText w:val=""/>
      <w:lvlJc w:val="left"/>
    </w:lvl>
  </w:abstractNum>
  <w:abstractNum w:abstractNumId="2" w15:restartNumberingAfterBreak="0">
    <w:nsid w:val="73BD58FB"/>
    <w:multiLevelType w:val="hybridMultilevel"/>
    <w:tmpl w:val="C902D616"/>
    <w:lvl w:ilvl="0" w:tplc="CADE4216">
      <w:start w:val="1"/>
      <w:numFmt w:val="bullet"/>
      <w:lvlText w:val="•"/>
      <w:lvlJc w:val="left"/>
      <w:pPr>
        <w:ind w:left="720" w:hanging="360"/>
      </w:pPr>
    </w:lvl>
    <w:lvl w:ilvl="1" w:tplc="B3FEAAF8">
      <w:start w:val="1"/>
      <w:numFmt w:val="bullet"/>
      <w:lvlText w:val="◦"/>
      <w:lvlJc w:val="left"/>
      <w:pPr>
        <w:ind w:left="1440" w:hanging="360"/>
      </w:pPr>
    </w:lvl>
    <w:lvl w:ilvl="2" w:tplc="8C82F0DA">
      <w:numFmt w:val="decimal"/>
      <w:lvlText w:val=""/>
      <w:lvlJc w:val="left"/>
    </w:lvl>
    <w:lvl w:ilvl="3" w:tplc="69E25918">
      <w:numFmt w:val="decimal"/>
      <w:lvlText w:val=""/>
      <w:lvlJc w:val="left"/>
    </w:lvl>
    <w:lvl w:ilvl="4" w:tplc="5A40C282">
      <w:numFmt w:val="decimal"/>
      <w:lvlText w:val=""/>
      <w:lvlJc w:val="left"/>
    </w:lvl>
    <w:lvl w:ilvl="5" w:tplc="AF1AE786">
      <w:numFmt w:val="decimal"/>
      <w:lvlText w:val=""/>
      <w:lvlJc w:val="left"/>
    </w:lvl>
    <w:lvl w:ilvl="6" w:tplc="9CD062EA">
      <w:numFmt w:val="decimal"/>
      <w:lvlText w:val=""/>
      <w:lvlJc w:val="left"/>
    </w:lvl>
    <w:lvl w:ilvl="7" w:tplc="FF5C3216">
      <w:numFmt w:val="decimal"/>
      <w:lvlText w:val=""/>
      <w:lvlJc w:val="left"/>
    </w:lvl>
    <w:lvl w:ilvl="8" w:tplc="F54E7388">
      <w:numFmt w:val="decimal"/>
      <w:lvlText w:val=""/>
      <w:lvlJc w:val="left"/>
    </w:lvl>
  </w:abstractNum>
  <w:num w:numId="1" w16cid:durableId="107622440">
    <w:abstractNumId w:val="0"/>
    <w:lvlOverride w:ilvl="0">
      <w:startOverride w:val="1"/>
    </w:lvlOverride>
  </w:num>
  <w:num w:numId="2" w16cid:durableId="7866574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104"/>
    <w:rsid w:val="00926AA6"/>
    <w:rsid w:val="00B02104"/>
    <w:rsid w:val="00CF7482"/>
    <w:rsid w:val="00DE3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AE66D"/>
  <w15:docId w15:val="{C60867E9-5972-46CB-BF1B-BDDEBE5C8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36"/>
      <w:szCs w:val="36"/>
    </w:rPr>
  </w:style>
  <w:style w:type="paragraph" w:styleId="Heading2">
    <w:name w:val="heading 2"/>
    <w:uiPriority w:val="9"/>
    <w:unhideWhenUsed/>
    <w:qFormat/>
    <w:pPr>
      <w:spacing w:before="240" w:after="100"/>
      <w:outlineLvl w:val="1"/>
    </w:pPr>
    <w:rPr>
      <w:b/>
      <w:bCs/>
      <w:color w:val="2E74B5"/>
      <w:sz w:val="28"/>
      <w:szCs w:val="28"/>
    </w:rPr>
  </w:style>
  <w:style w:type="paragraph" w:styleId="Heading3">
    <w:name w:val="heading 3"/>
    <w:uiPriority w:val="9"/>
    <w:unhideWhenUsed/>
    <w:qFormat/>
    <w:pPr>
      <w:spacing w:before="18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326</Words>
  <Characters>1894</Characters>
  <Application>Microsoft Office Word</Application>
  <DocSecurity>0</DocSecurity>
  <Lines>67</Lines>
  <Paragraphs>65</Paragraphs>
  <ScaleCrop>false</ScaleCrop>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Allen Sanders</cp:lastModifiedBy>
  <cp:revision>2</cp:revision>
  <dcterms:created xsi:type="dcterms:W3CDTF">2026-05-05T01:32:00Z</dcterms:created>
  <dcterms:modified xsi:type="dcterms:W3CDTF">2026-05-05T11:54:00Z</dcterms:modified>
</cp:coreProperties>
</file>