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color w:val="BF8F00"/>
          <w:sz w:val="20"/>
          <w:szCs w:val="20"/>
        </w:rPr>
        <w:t xml:space="preserve">ANALYST RECOMMENDATION BRIEF</w:t>
      </w:r>
    </w:p>
    <w:p>
      <w:pPr>
        <w:spacing w:after="240" w:before="0"/>
      </w:pPr>
      <w:r>
        <w:rPr>
          <w:i/>
          <w:iCs/>
          <w:color w:val="595959"/>
          <w:sz w:val="18"/>
          <w:szCs w:val="18"/>
        </w:rPr>
        <w:t xml:space="preserve">Internal — Strategic Initiative Review</w:t>
      </w:r>
    </w:p>
    <w:p>
      <w:pPr>
        <w:pStyle w:val="Heading1"/>
        <w:spacing w:after="160" w:before="0"/>
      </w:pPr>
      <w:r>
        <w:rPr>
          <w:b/>
          <w:bCs/>
          <w:color w:val="1F3864"/>
        </w:rPr>
        <w:t xml:space="preserve">GKGI Parametric Coverage Expansion (Caribbean-wide)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Prepared for: GKFG Executive Committee  |  Prepared by: Insurance Analytics  |  Confidence: Medium-High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3857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  <w:p>
            <w:r>
              <w:rPr>
                <w:color w:val="FFFFFF"/>
                <w:sz w:val="22"/>
                <w:szCs w:val="22"/>
              </w:rPr>
              <w:t xml:space="preserve">Expand the GK Weather Protect parametric product across the Eastern Caribbean and Trinidad over the next 18 months. Three-year contribution margin: +US$6.8M. Expected risk-adjusted ROE: 16.4%.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Strategic Rationale</w:t>
      </w:r>
    </w:p>
    <w:p>
      <w:pPr>
        <w:spacing w:after="80" w:before="80"/>
      </w:pPr>
      <w:r>
        <w:t xml:space="preserve">Hurricane Melissa exposed both the value and the limitations of traditional indemnity coverage. Settlement times stretched 90–180 days while affected customers faced immediate cash flow needs. GK Weather Protect — a parametric product that pays out within 14 days based on objective weather triggers — has performed strongly in the limited Jamaica pilot. Caribbean-wide expansion would establish GKGI as the market leader in climate-resilient coverage and create a defensible cross-sell wedge with the ScotiaProtect partnership.</w:t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Market Sizing</w:t>
      </w:r>
    </w:p>
    <w:p>
      <w:pPr>
        <w:pStyle w:val="ListParagraph"/>
        <w:numPr>
          <w:ilvl w:val="0"/>
          <w:numId w:val="2"/>
        </w:numPr>
      </w:pPr>
      <w:r>
        <w:t xml:space="preserve">Existing GKGI property customers across target markets: 142,000</w:t>
      </w:r>
    </w:p>
    <w:p>
      <w:pPr>
        <w:pStyle w:val="ListParagraph"/>
        <w:numPr>
          <w:ilvl w:val="0"/>
          <w:numId w:val="2"/>
        </w:numPr>
      </w:pPr>
      <w:r>
        <w:t xml:space="preserve">Estimated take-up rate (Year 1): 22% based on Jamaica pilot conversion</w:t>
      </w:r>
    </w:p>
    <w:p>
      <w:pPr>
        <w:pStyle w:val="ListParagraph"/>
        <w:numPr>
          <w:ilvl w:val="0"/>
          <w:numId w:val="2"/>
        </w:numPr>
      </w:pPr>
      <w:r>
        <w:t xml:space="preserve">Average annual premium per parametric policy: US$340</w:t>
      </w:r>
    </w:p>
    <w:p>
      <w:pPr>
        <w:pStyle w:val="ListParagraph"/>
        <w:numPr>
          <w:ilvl w:val="0"/>
          <w:numId w:val="2"/>
        </w:numPr>
      </w:pPr>
      <w:r>
        <w:t xml:space="preserve">Year-3 target: 47,000 active parametric policies generating US$16.0M gross written premium</w:t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Three-Year Financial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666"/>
        <w:gridCol w:w="1667"/>
        <w:gridCol w:w="1667"/>
      </w:tblGrid>
      <w:tr>
        <w:trPr>
          <w:tblHeader/>
        </w:trP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3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Active policies (000s)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18.6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32.4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47.1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Gross written premium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6.3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11.0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16.0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Reinsurance ceded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(3.8)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(6.6)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(9.6)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Expected losses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(1.1)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(1.9)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(2.7)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Operating + acquisition cost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(1.6)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(1.4)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(1.4)</w:t>
            </w:r>
          </w:p>
        </w:tc>
      </w:tr>
      <w:tr>
        <w:tc>
          <w:tcPr>
            <w:tcW w:type="dxa" w:w="4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Net contribution margin (US$M)</w:t>
            </w:r>
          </w:p>
        </w:tc>
        <w:tc>
          <w:tcPr>
            <w:tcW w:type="dxa" w:w="166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(0.2)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66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2.3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4B5"/>
        </w:rPr>
        <w:t xml:space="preserve">Key Modelling Inputs</w:t>
      </w:r>
    </w:p>
    <w:p>
      <w:pPr>
        <w:pStyle w:val="ListParagraph"/>
        <w:numPr>
          <w:ilvl w:val="0"/>
          <w:numId w:val="2"/>
        </w:numPr>
      </w:pPr>
      <w:r>
        <w:t xml:space="preserve">Catastrophic event frequency: 1.8 events per decade in target markets (10-year regional average, NOAA-derived)</w:t>
      </w:r>
    </w:p>
    <w:p>
      <w:pPr>
        <w:pStyle w:val="ListParagraph"/>
        <w:numPr>
          <w:ilvl w:val="0"/>
          <w:numId w:val="2"/>
        </w:numPr>
      </w:pPr>
      <w:r>
        <w:t xml:space="preserve">Year 1 take-up rate: 22% of eligible GKGI property customers (Jamaica pilot conversion)</w:t>
      </w:r>
    </w:p>
    <w:p>
      <w:pPr>
        <w:pStyle w:val="ListParagraph"/>
        <w:numPr>
          <w:ilvl w:val="0"/>
          <w:numId w:val="2"/>
        </w:numPr>
      </w:pPr>
      <w:r>
        <w:t xml:space="preserve">Reinsurance pricing: assumed flat at current market rates over the 3-year horizon</w:t>
      </w:r>
    </w:p>
    <w:p>
      <w:pPr>
        <w:pStyle w:val="ListParagraph"/>
        <w:numPr>
          <w:ilvl w:val="0"/>
          <w:numId w:val="2"/>
        </w:numPr>
      </w:pPr>
      <w:r>
        <w:t xml:space="preserve">Average premium per policy: US$340 (constant, USD-denominated)</w:t>
      </w:r>
    </w:p>
    <w:p>
      <w:pPr>
        <w:pStyle w:val="ListParagraph"/>
        <w:numPr>
          <w:ilvl w:val="0"/>
          <w:numId w:val="2"/>
        </w:numPr>
      </w:pPr>
      <w:r>
        <w:t xml:space="preserve">Operating cost: US$1.6M Year 1 (platform + onboarding), declining as policy base scales</w:t>
      </w:r>
    </w:p>
    <w:p>
      <w:pPr>
        <w:pStyle w:val="ListParagraph"/>
        <w:numPr>
          <w:ilvl w:val="0"/>
          <w:numId w:val="2"/>
        </w:numPr>
      </w:pPr>
      <w:r>
        <w:t xml:space="preserve">Loss ratio (after parametric trigger): 17% expected average across the projection horizon</w:t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Risks</w:t>
      </w:r>
    </w:p>
    <w:p>
      <w:pPr>
        <w:pStyle w:val="ListParagraph"/>
        <w:numPr>
          <w:ilvl w:val="0"/>
          <w:numId w:val="2"/>
        </w:numPr>
      </w:pPr>
      <w:r>
        <w:t xml:space="preserve">Regulatory approval in three Eastern Caribbean territories pending. Mitigation: filings in progress.</w:t>
      </w:r>
    </w:p>
    <w:p>
      <w:pPr>
        <w:pStyle w:val="ListParagraph"/>
        <w:numPr>
          <w:ilvl w:val="0"/>
          <w:numId w:val="2"/>
        </w:numPr>
      </w:pPr>
      <w:r>
        <w:t xml:space="preserve">Customer education on parametric vs. indemnity coverage required. Mitigation: tiered pricing and education content.</w:t>
      </w:r>
    </w:p>
    <w:p>
      <w:pPr>
        <w:pStyle w:val="ListParagraph"/>
        <w:numPr>
          <w:ilvl w:val="0"/>
          <w:numId w:val="2"/>
        </w:numPr>
      </w:pPr>
      <w:r>
        <w:t xml:space="preserve">Climate risk evolution: potential for higher event frequency over the projection horizon. Mitigation: annual reinsurance program review.</w:t>
      </w:r>
    </w:p>
    <w:p>
      <w:pPr>
        <w:pStyle w:val="Heading2"/>
        <w:spacing w:after="100" w:before="240"/>
      </w:pPr>
      <w:r>
        <w:rPr>
          <w:b/>
          <w:bCs/>
          <w:color w:val="2E74B5"/>
        </w:rPr>
        <w:t xml:space="preserve">Decision Requested</w:t>
      </w:r>
    </w:p>
    <w:p>
      <w:pPr>
        <w:spacing w:after="80" w:before="80"/>
      </w:pPr>
      <w:r>
        <w:t xml:space="preserve">Approval to proceed with the 18-month rollout plan, with US$2.4M of platform and acquisition investment authorization, and quarterly reinsurance program review.</w:t>
      </w:r>
    </w:p>
    <w:p>
      <w:pPr>
        <w:pStyle w:val="Heading2"/>
        <w:spacing w:after="100" w:before="240"/>
      </w:pPr>
      <w:r>
        <w:rPr>
          <w:b/>
          <w:bCs/>
          <w:color w:val="C00000"/>
        </w:rPr>
        <w:t xml:space="preserve">Your Charge</w:t>
      </w:r>
    </w:p>
    <w:p>
      <w:pPr>
        <w:spacing w:after="100" w:before="100"/>
      </w:pPr>
      <w:r>
        <w:rPr>
          <w:b/>
          <w:bCs/>
        </w:rPr>
        <w:t xml:space="preserve">Find the three assumptions inside this brief that, if changed by a reasonable amount, would flip the recommendation from EXPAND to HOLD or CONTRACT. For each, write on your worksheet:</w:t>
      </w:r>
    </w:p>
    <w:p>
      <w:pPr>
        <w:pStyle w:val="ListParagraph"/>
        <w:numPr>
          <w:ilvl w:val="0"/>
          <w:numId w:val="3"/>
        </w:numPr>
      </w:pPr>
      <w:r>
        <w:t xml:space="preserve">The assumption (the specific number or premise)</w:t>
      </w:r>
    </w:p>
    <w:p>
      <w:pPr>
        <w:pStyle w:val="ListParagraph"/>
        <w:numPr>
          <w:ilvl w:val="0"/>
          <w:numId w:val="3"/>
        </w:numPr>
      </w:pPr>
      <w:r>
        <w:t xml:space="preserve">How much it would have to change (e.g., “frequency rises from 1.8 to 2.6 events per decade”)</w:t>
      </w:r>
    </w:p>
    <w:p>
      <w:pPr>
        <w:pStyle w:val="ListParagraph"/>
        <w:numPr>
          <w:ilvl w:val="0"/>
          <w:numId w:val="3"/>
        </w:numPr>
      </w:pPr>
      <w:r>
        <w:t xml:space="preserve">Why this is plausible (what real-world condition would cause it)</w:t>
      </w:r>
    </w:p>
    <w:p>
      <w:pPr>
        <w:pStyle w:val="ListParagraph"/>
        <w:numPr>
          <w:ilvl w:val="0"/>
          <w:numId w:val="3"/>
        </w:numPr>
      </w:pPr>
      <w:r>
        <w:t xml:space="preserve">How the recommendation flips (the new recommended action)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i/>
          <w:iCs/>
        </w:rPr>
        <w:t xml:space="preserve">You have 15 minutes. Nominate one presenter. You will have 3 minutes to report back.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Hint: Look in three categories</w:t>
      </w:r>
    </w:p>
    <w:p>
      <w:pPr>
        <w:pStyle w:val="ListParagraph"/>
        <w:numPr>
          <w:ilvl w:val="0"/>
          <w:numId w:val="2"/>
        </w:numPr>
      </w:pPr>
      <w:r>
        <w:t xml:space="preserve">Customer behavior assumptions: how customers will respond</w:t>
      </w:r>
    </w:p>
    <w:p>
      <w:pPr>
        <w:pStyle w:val="ListParagraph"/>
        <w:numPr>
          <w:ilvl w:val="0"/>
          <w:numId w:val="2"/>
        </w:numPr>
      </w:pPr>
      <w:r>
        <w:t xml:space="preserve">Market condition assumptions: external factors outside GKFG control</w:t>
      </w:r>
    </w:p>
    <w:p>
      <w:pPr>
        <w:pStyle w:val="ListParagraph"/>
        <w:numPr>
          <w:ilvl w:val="0"/>
          <w:numId w:val="2"/>
        </w:numPr>
      </w:pPr>
      <w:r>
        <w:t xml:space="preserve">Cost or capacity assumptions: how flexible our cost base really is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GKFG DDDM Program  |  Module 6 — Three Assumptions Exercise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Scenario 2  |  GKGI Parametric Coverage Expansion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2026-05-05T01:32:45.144Z</dcterms:created>
  <dcterms:modified xsi:type="dcterms:W3CDTF">2026-05-05T01:32:45.144Z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