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b/>
          <w:bCs/>
          <w:color w:val="BF8F00"/>
          <w:sz w:val="20"/>
          <w:szCs w:val="20"/>
        </w:rPr>
        <w:t xml:space="preserve">ANALYST RECOMMENDATION BRIEF</w:t>
      </w:r>
    </w:p>
    <w:p>
      <w:pPr>
        <w:spacing w:after="240" w:before="0"/>
      </w:pPr>
      <w:r>
        <w:rPr>
          <w:i/>
          <w:iCs/>
          <w:color w:val="595959"/>
          <w:sz w:val="18"/>
          <w:szCs w:val="18"/>
        </w:rPr>
        <w:t xml:space="preserve">Internal — Strategic Initiative Review</w:t>
      </w:r>
    </w:p>
    <w:p>
      <w:pPr>
        <w:pStyle w:val="Heading1"/>
        <w:spacing w:after="160" w:before="0"/>
      </w:pPr>
      <w:r>
        <w:rPr>
          <w:b/>
          <w:bCs/>
          <w:color w:val="1F3864"/>
        </w:rPr>
        <w:t xml:space="preserve">GKMS Digital Remittance Crossover — Branch Footprint Optimization</w:t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Prepared for: GKFG Executive Committee  |  Prepared by: Money Services Strategy  |  Confidence: Medium-High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3857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  <w:p>
            <w:r>
              <w:rPr>
                <w:color w:val="FFFFFF"/>
                <w:sz w:val="22"/>
                <w:szCs w:val="22"/>
              </w:rPr>
              <w:t xml:space="preserve">Begin a 24-month rationalization of the GKMS branch footprint in Trinidad &amp; Tobago and Guyana, redirecting saved capacity into GK One digital remittance acceleration. Three-year net margin uplift: +US$5.4M. Branch footprint reduced from 38 to 22 locations.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Strategic Rationale</w:t>
      </w:r>
    </w:p>
    <w:p>
      <w:pPr>
        <w:spacing w:after="80" w:before="80"/>
      </w:pPr>
      <w:r>
        <w:t xml:space="preserve">Digital remittance is steadily displacing in-person volume across our T&amp;T and Guyana corridors. GK One adoption among existing GKMS customers in these markets has reached 31% and is growing. Each in-person transaction carries roughly 2.2x the cost-to-serve of a digital one. With branch leases coming up for renewal across 16 locations in the next 24 months, this is a once-a-cycle opportunity to right-size the cost base and accelerate the platform shift.</w:t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Market Context</w:t>
      </w:r>
    </w:p>
    <w:p>
      <w:pPr>
        <w:pStyle w:val="ListParagraph"/>
        <w:numPr>
          <w:ilvl w:val="0"/>
          <w:numId w:val="2"/>
        </w:numPr>
      </w:pPr>
      <w:r>
        <w:t xml:space="preserve">Current GKMS branch network in T&amp;T + Guyana: 38 locations</w:t>
      </w:r>
    </w:p>
    <w:p>
      <w:pPr>
        <w:pStyle w:val="ListParagraph"/>
        <w:numPr>
          <w:ilvl w:val="0"/>
          <w:numId w:val="2"/>
        </w:numPr>
      </w:pPr>
      <w:r>
        <w:t xml:space="preserve">Current digital remittance share of total volume: 31% (Jamaica reference: 58%)</w:t>
      </w:r>
    </w:p>
    <w:p>
      <w:pPr>
        <w:pStyle w:val="ListParagraph"/>
        <w:numPr>
          <w:ilvl w:val="0"/>
          <w:numId w:val="2"/>
        </w:numPr>
      </w:pPr>
      <w:r>
        <w:t xml:space="preserve">Projected digital share by Year 3: 61% (assumes 30% YoY shift, mirroring Jamaica’s 2021–2024 trajectory)</w:t>
      </w:r>
    </w:p>
    <w:p>
      <w:pPr>
        <w:pStyle w:val="ListParagraph"/>
        <w:numPr>
          <w:ilvl w:val="0"/>
          <w:numId w:val="2"/>
        </w:numPr>
      </w:pPr>
      <w:r>
        <w:t xml:space="preserve">Branch leases up for renewal in next 24 months: 16 of 38 locations</w:t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Three-Year Financial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666"/>
        <w:gridCol w:w="1667"/>
        <w:gridCol w:w="1667"/>
      </w:tblGrid>
      <w:tr>
        <w:trPr>
          <w:tblHeader/>
        </w:trP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3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 count (end of year)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Digital share of remittance volume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51%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 operating cost (US$M)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(8.4)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(7.0)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(6.0)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One-time rationalization cost (US$M)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(1.8)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(0.9)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(0.4)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Digital margin gain (US$M)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1.2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3.4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Net margin uplift vs. status quo (US$M)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(0.4)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3.7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4B5"/>
        </w:rPr>
        <w:t xml:space="preserve">Key Modelling Inputs</w:t>
      </w:r>
    </w:p>
    <w:p>
      <w:pPr>
        <w:pStyle w:val="ListParagraph"/>
        <w:numPr>
          <w:ilvl w:val="0"/>
          <w:numId w:val="2"/>
        </w:numPr>
      </w:pPr>
      <w:r>
        <w:t xml:space="preserve">Year-over-year shift from in-person to digital: 30% (mirrors Jamaica 2021–2024 actual)</w:t>
      </w:r>
    </w:p>
    <w:p>
      <w:pPr>
        <w:pStyle w:val="ListParagraph"/>
        <w:numPr>
          <w:ilvl w:val="0"/>
          <w:numId w:val="2"/>
        </w:numPr>
      </w:pPr>
      <w:r>
        <w:t xml:space="preserve">Digital margin per transaction relative to in-person: 62% at scale (Jamaica current state)</w:t>
      </w:r>
    </w:p>
    <w:p>
      <w:pPr>
        <w:pStyle w:val="ListParagraph"/>
        <w:numPr>
          <w:ilvl w:val="0"/>
          <w:numId w:val="2"/>
        </w:numPr>
      </w:pPr>
      <w:r>
        <w:t xml:space="preserve">Branch fixed-cost flexibility: assumes 18-month notice period for lease + workforce rationalization</w:t>
      </w:r>
    </w:p>
    <w:p>
      <w:pPr>
        <w:pStyle w:val="ListParagraph"/>
        <w:numPr>
          <w:ilvl w:val="0"/>
          <w:numId w:val="2"/>
        </w:numPr>
      </w:pPr>
      <w:r>
        <w:t xml:space="preserve">Customer attrition during rationalization: assumed 4% of in-person-only customers per closure</w:t>
      </w:r>
    </w:p>
    <w:p>
      <w:pPr>
        <w:pStyle w:val="ListParagraph"/>
        <w:numPr>
          <w:ilvl w:val="0"/>
          <w:numId w:val="2"/>
        </w:numPr>
      </w:pPr>
      <w:r>
        <w:t xml:space="preserve">GK One platform marginal cost per incremental transaction: US$0.18</w:t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Risks</w:t>
      </w:r>
    </w:p>
    <w:p>
      <w:pPr>
        <w:pStyle w:val="ListParagraph"/>
        <w:numPr>
          <w:ilvl w:val="0"/>
          <w:numId w:val="2"/>
        </w:numPr>
      </w:pPr>
      <w:r>
        <w:t xml:space="preserve">Customer disruption during transitions in semi-rural markets where the GKMS branch is the primary financial touchpoint. Mitigation: transition support program.</w:t>
      </w:r>
    </w:p>
    <w:p>
      <w:pPr>
        <w:pStyle w:val="ListParagraph"/>
        <w:numPr>
          <w:ilvl w:val="0"/>
          <w:numId w:val="2"/>
        </w:numPr>
      </w:pPr>
      <w:r>
        <w:t xml:space="preserve">Regulatory licensing implications of branch closures in some territories. Mitigation: legal review underway.</w:t>
      </w:r>
    </w:p>
    <w:p>
      <w:pPr>
        <w:pStyle w:val="ListParagraph"/>
        <w:numPr>
          <w:ilvl w:val="0"/>
          <w:numId w:val="2"/>
        </w:numPr>
      </w:pPr>
      <w:r>
        <w:t xml:space="preserve">Competitive response: digital-native remittance providers may accelerate marketing. Mitigation: GK One feature roadmap.</w:t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Decision Requested</w:t>
      </w:r>
    </w:p>
    <w:p>
      <w:pPr>
        <w:spacing w:after="80" w:before="80"/>
      </w:pPr>
      <w:r>
        <w:t xml:space="preserve">Approval to proceed with the 24-month rationalization plan, with US$3.1M of one-time transition cost authorization across the three-year period, and quarterly review of customer attrition metrics.</w:t>
      </w:r>
    </w:p>
    <w:p>
      <w:pPr>
        <w:pStyle w:val="Heading2"/>
        <w:spacing w:after="100" w:before="240"/>
      </w:pPr>
      <w:r>
        <w:rPr>
          <w:b/>
          <w:bCs/>
          <w:color w:val="C00000"/>
        </w:rPr>
        <w:t xml:space="preserve">Your Charge</w:t>
      </w:r>
    </w:p>
    <w:p>
      <w:pPr>
        <w:spacing w:after="100" w:before="100"/>
      </w:pPr>
      <w:r>
        <w:rPr>
          <w:b/>
          <w:bCs/>
        </w:rPr>
        <w:t xml:space="preserve">Find the three assumptions inside this brief that, if changed by a reasonable amount, would flip the recommendation from EXPAND to HOLD or CONTRACT. For each, write on your worksheet:</w:t>
      </w:r>
    </w:p>
    <w:p>
      <w:pPr>
        <w:pStyle w:val="ListParagraph"/>
        <w:numPr>
          <w:ilvl w:val="0"/>
          <w:numId w:val="3"/>
        </w:numPr>
      </w:pPr>
      <w:r>
        <w:t xml:space="preserve">The assumption (the specific number or premise)</w:t>
      </w:r>
    </w:p>
    <w:p>
      <w:pPr>
        <w:pStyle w:val="ListParagraph"/>
        <w:numPr>
          <w:ilvl w:val="0"/>
          <w:numId w:val="3"/>
        </w:numPr>
      </w:pPr>
      <w:r>
        <w:t xml:space="preserve">How much it would have to change (e.g., “digital margin holds at 45% of in-person rather than 62%”)</w:t>
      </w:r>
    </w:p>
    <w:p>
      <w:pPr>
        <w:pStyle w:val="ListParagraph"/>
        <w:numPr>
          <w:ilvl w:val="0"/>
          <w:numId w:val="3"/>
        </w:numPr>
      </w:pPr>
      <w:r>
        <w:t xml:space="preserve">Why this is plausible (what real-world condition would cause it)</w:t>
      </w:r>
    </w:p>
    <w:p>
      <w:pPr>
        <w:pStyle w:val="ListParagraph"/>
        <w:numPr>
          <w:ilvl w:val="0"/>
          <w:numId w:val="3"/>
        </w:numPr>
      </w:pPr>
      <w:r>
        <w:t xml:space="preserve">How the recommendation flips (the new recommended action)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i/>
          <w:iCs/>
        </w:rPr>
        <w:t xml:space="preserve">You have 15 minutes. Nominate one presenter. You will have 3 minutes to report back.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Hint: Look in three categories</w:t>
      </w:r>
    </w:p>
    <w:p>
      <w:pPr>
        <w:pStyle w:val="ListParagraph"/>
        <w:numPr>
          <w:ilvl w:val="0"/>
          <w:numId w:val="2"/>
        </w:numPr>
      </w:pPr>
      <w:r>
        <w:t xml:space="preserve">Customer behavior assumptions: how customers will respond</w:t>
      </w:r>
    </w:p>
    <w:p>
      <w:pPr>
        <w:pStyle w:val="ListParagraph"/>
        <w:numPr>
          <w:ilvl w:val="0"/>
          <w:numId w:val="2"/>
        </w:numPr>
      </w:pPr>
      <w:r>
        <w:t xml:space="preserve">Market condition assumptions: external factors outside GKFG control</w:t>
      </w:r>
    </w:p>
    <w:p>
      <w:pPr>
        <w:pStyle w:val="ListParagraph"/>
        <w:numPr>
          <w:ilvl w:val="0"/>
          <w:numId w:val="2"/>
        </w:numPr>
      </w:pPr>
      <w:r>
        <w:t xml:space="preserve">Cost or capacity assumptions: how flexible our cost base really is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GKFG DDDM Program  |  Module 6 — Three Assumptions Exercise  |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Scenario 3  |  GKMS Digital Remittance Crossover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2026-05-05T01:32:45.182Z</dcterms:created>
  <dcterms:modified xsi:type="dcterms:W3CDTF">2026-05-05T01:32:45.182Z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