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8" w:space="6"/>
        </w:pBdr>
        <w:spacing w:after="40"/>
      </w:pPr>
      <w:r>
        <w:rPr>
          <w:b/>
          <w:bCs/>
          <w:caps/>
          <w:color w:val="2E5496"/>
          <w:sz w:val="18"/>
          <w:szCs w:val="18"/>
        </w:rPr>
        <w:t xml:space="preserve">Source-of-Truth Requirement Document</w:t>
      </w:r>
    </w:p>
    <w:p>
      <w:pPr>
        <w:spacing w:after="40" w:before="160"/>
      </w:pPr>
      <w:r>
        <w:rPr>
          <w:b/>
          <w:bCs/>
          <w:color w:val="1F3864"/>
          <w:sz w:val="40"/>
          <w:szCs w:val="40"/>
        </w:rPr>
        <w:t xml:space="preserve">SOF Tactical-Edge Situational Awareness &amp; Data-Integration Platform (TESA-DIP)</w:t>
      </w:r>
    </w:p>
    <w:p>
      <w:pPr>
        <w:spacing w:after="200"/>
      </w:pPr>
      <w:r>
        <w:rPr>
          <w:i/>
          <w:iCs/>
          <w:color w:val="595959"/>
          <w:sz w:val="22"/>
          <w:szCs w:val="22"/>
        </w:rPr>
        <w:t xml:space="preserve">Approved Capability Requirement / System Requirements Document (SRD) — Baseline v1.0</w:t>
      </w:r>
    </w:p>
    <w:p>
      <w:pPr>
        <w:pBdr>
          <w:top w:val="single" w:color="C55A11" w:sz="6" w:space="6"/>
          <w:bottom w:val="single" w:color="C55A11" w:sz="6" w:space="6"/>
          <w:left w:val="single" w:color="C55A11" w:sz="6" w:space="6"/>
          <w:right w:val="single" w:color="C55A11" w:sz="6" w:space="6"/>
        </w:pBdr>
        <w:shd w:fill="FDE9D9" w:val="clear"/>
        <w:spacing w:after="240"/>
      </w:pPr>
      <w:r>
        <w:rPr>
          <w:b/>
          <w:bCs/>
          <w:color w:val="C55A11"/>
          <w:sz w:val="18"/>
          <w:szCs w:val="18"/>
        </w:rPr>
        <w:t xml:space="preserve">NOTIONAL TRAINING SCENARIO — UNCLASSIFIED. </w:t>
      </w:r>
      <w:r>
        <w:rPr>
          <w:color w:val="843C0C"/>
          <w:sz w:val="18"/>
          <w:szCs w:val="18"/>
        </w:rPr>
        <w:t xml:space="preserve">Fictional content created solely for instructor-led Microsoft 365 Copilot training. This document does not represent any actual SOCOM program, requirement, system, vendor, or capability, and contains no real operational data. Names, numbers, and technical details are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sz w:val="19"/>
                <w:szCs w:val="19"/>
              </w:rPr>
              <w:t xml:space="preserve">Document type</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9"/>
                <w:szCs w:val="19"/>
              </w:rPr>
              <w:t xml:space="preserve">Approved Capability Requirement (evaluation baseline)</w:t>
            </w:r>
          </w:p>
        </w:tc>
      </w:tr>
      <w:tr>
        <w:tc>
          <w:tcPr>
            <w:tcW w:type="dxa" w:w="27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sz w:val="19"/>
                <w:szCs w:val="19"/>
              </w:rPr>
              <w:t xml:space="preserve">Sponsor (notional)</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9"/>
                <w:szCs w:val="19"/>
              </w:rPr>
              <w:t xml:space="preserve">SOF Capability Development / Program Office</w:t>
            </w:r>
          </w:p>
        </w:tc>
      </w:tr>
      <w:tr>
        <w:tc>
          <w:tcPr>
            <w:tcW w:type="dxa" w:w="27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sz w:val="19"/>
                <w:szCs w:val="19"/>
              </w:rPr>
              <w:t xml:space="preserve">Acquisition phase</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9"/>
                <w:szCs w:val="19"/>
              </w:rPr>
              <w:t xml:space="preserve">Source selection — competitive technical evaluation of four candidate approaches</w:t>
            </w:r>
          </w:p>
        </w:tc>
      </w:tr>
      <w:tr>
        <w:tc>
          <w:tcPr>
            <w:tcW w:type="dxa" w:w="27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sz w:val="19"/>
                <w:szCs w:val="19"/>
              </w:rPr>
              <w:t xml:space="preserve">Authoritative for</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9"/>
                <w:szCs w:val="19"/>
              </w:rPr>
              <w:t xml:space="preserve">All Pass/Fail and weighted scoring in this evaluation</w:t>
            </w:r>
          </w:p>
        </w:tc>
      </w:tr>
    </w:tbl>
    <w:p>
      <w:pPr>
        <w:spacing w:after="120" w:line="264"/>
      </w:pPr>
      <w:r>
        <w:t xml:space="preserve"/>
      </w:r>
    </w:p>
    <w:p>
      <w:pPr>
        <w:pStyle w:val="Heading1"/>
      </w:pPr>
      <w:r>
        <w:t xml:space="preserve">1. Requirement Overview</w:t>
      </w:r>
    </w:p>
    <w:p>
      <w:pPr>
        <w:spacing w:after="120" w:line="264"/>
      </w:pPr>
      <w:r>
        <w:t xml:space="preserve">This requirement defines a centralized capability to collect, normalize, analyze, and visualize authorized sensor and mission-data feeds generated across multiple, geographically dispersed operating locations. The platform shall produce a shared, role-tailored common operating picture (COP) and support operational decision-making, threat and anomaly detection, and predictive readiness for fielded systems.</w:t>
      </w:r>
    </w:p>
    <w:p>
      <w:pPr>
        <w:spacing w:after="120" w:line="264"/>
      </w:pPr>
      <w:r>
        <w:t xml:space="preserve">Operating locations today field independent collection systems that generate significant data but lack centralized analytics, cross-site correlation, and a unified operational picture. The platform shall consolidate these capabilities behind standardized, secure interfaces for monitoring, alerting, query, and integration.</w:t>
      </w:r>
    </w:p>
    <w:p>
      <w:pPr>
        <w:spacing w:after="120" w:line="264"/>
      </w:pPr>
      <w:r>
        <w:t xml:space="preserve">Primary user groups, each requiring a different view of the data, include: tactical operators and team-level users at the edge; watch-floor / operations-center (JOC) personnel; mission planners; intelligence analysts; and communications/system administrators (J6/G6).</w:t>
      </w:r>
    </w:p>
    <w:p>
      <w:pPr>
        <w:pStyle w:val="Heading1"/>
      </w:pPr>
      <w:r>
        <w:t xml:space="preserve">2. Capability Objectives</w:t>
      </w:r>
    </w:p>
    <w:p>
      <w:pPr>
        <w:pStyle w:val="ListParagraph"/>
        <w:numPr>
          <w:ilvl w:val="0"/>
          <w:numId w:val="2"/>
        </w:numPr>
        <w:spacing w:after="60" w:line="256"/>
      </w:pPr>
      <w:r>
        <w:t xml:space="preserve">Provide a unified ingestion layer that collects authorized feeds — including full-motion video (FMV) / ISR feeds, position and location telemetry, unattended ground sensors, environmental and weather sensors, authorized identity/biometric collection, and RF/spectrum sensing.</w:t>
      </w:r>
    </w:p>
    <w:p>
      <w:pPr>
        <w:pStyle w:val="ListParagraph"/>
        <w:numPr>
          <w:ilvl w:val="0"/>
          <w:numId w:val="2"/>
        </w:numPr>
        <w:spacing w:after="60" w:line="256"/>
      </w:pPr>
      <w:r>
        <w:t xml:space="preserve">Deliver role-tailored operational dashboards (the COP) that present system health, activity, anomalies, and readiness across all locations.</w:t>
      </w:r>
    </w:p>
    <w:p>
      <w:pPr>
        <w:pStyle w:val="ListParagraph"/>
        <w:numPr>
          <w:ilvl w:val="0"/>
          <w:numId w:val="2"/>
        </w:numPr>
        <w:spacing w:after="60" w:line="256"/>
      </w:pPr>
      <w:r>
        <w:t xml:space="preserve">Provide analytics capable of detecting anomalies and forecasting potential failures of fielded systems (predictive readiness).</w:t>
      </w:r>
    </w:p>
    <w:p>
      <w:pPr>
        <w:pStyle w:val="ListParagraph"/>
        <w:numPr>
          <w:ilvl w:val="0"/>
          <w:numId w:val="2"/>
        </w:numPr>
        <w:spacing w:after="60" w:line="256"/>
      </w:pPr>
      <w:r>
        <w:t xml:space="preserve">Enable secure integration with mission command and control (C2), logistics and readiness systems, and intelligence exploitation systems.</w:t>
      </w:r>
    </w:p>
    <w:p>
      <w:pPr>
        <w:pStyle w:val="ListParagraph"/>
        <w:numPr>
          <w:ilvl w:val="0"/>
          <w:numId w:val="2"/>
        </w:numPr>
        <w:spacing w:after="60" w:line="256"/>
      </w:pPr>
      <w:r>
        <w:t xml:space="preserve">Provide a secure, scalable, and resilient architecture that remains mission-effective in disconnected and degraded conditions.</w:t>
      </w:r>
    </w:p>
    <w:p>
      <w:pPr>
        <w:pStyle w:val="Heading1"/>
      </w:pPr>
      <w:r>
        <w:t xml:space="preserve">3. Functional Requirements</w:t>
      </w:r>
    </w:p>
    <w:p>
      <w:pPr>
        <w:spacing w:after="120" w:line="264"/>
      </w:pPr>
      <w:r>
        <w:rPr>
          <w:i/>
          <w:iCs/>
          <w:color w:val="595959"/>
          <w:sz w:val="19"/>
          <w:szCs w:val="19"/>
        </w:rPr>
        <w:t xml:space="preserve">The following are mandatory unless explicitly stated otherwise. Mandatory requirements use “shall.”</w:t>
      </w:r>
    </w:p>
    <w:p>
      <w:pPr>
        <w:pStyle w:val="ListParagraph"/>
        <w:numPr>
          <w:ilvl w:val="0"/>
          <w:numId w:val="2"/>
        </w:numPr>
        <w:spacing w:after="60" w:line="256"/>
      </w:pPr>
      <w:r>
        <w:rPr>
          <w:b/>
          <w:bCs/>
        </w:rPr>
        <w:t xml:space="preserve">FR-1 (mandatory). </w:t>
      </w:r>
      <w:r>
        <w:t xml:space="preserve">The platform shall ingest telemetry and feeds from up to 50,000 authorized edge devices/feeds distributed across multiple locations. Inbound formats may include MQTT, REST payloads, streaming video, and common tactical message formats.</w:t>
      </w:r>
    </w:p>
    <w:p>
      <w:pPr>
        <w:pStyle w:val="ListParagraph"/>
        <w:numPr>
          <w:ilvl w:val="0"/>
          <w:numId w:val="2"/>
        </w:numPr>
        <w:spacing w:after="60" w:line="256"/>
      </w:pPr>
      <w:r>
        <w:rPr>
          <w:b/>
          <w:bCs/>
        </w:rPr>
        <w:t xml:space="preserve">FR-2 (mandatory). </w:t>
      </w:r>
      <w:r>
        <w:t xml:space="preserve">Ingestion services shall normalize incoming data into a common schema before storage and analytics.</w:t>
      </w:r>
    </w:p>
    <w:p>
      <w:pPr>
        <w:pStyle w:val="ListParagraph"/>
        <w:numPr>
          <w:ilvl w:val="0"/>
          <w:numId w:val="2"/>
        </w:numPr>
        <w:spacing w:after="60" w:line="256"/>
      </w:pPr>
      <w:r>
        <w:rPr>
          <w:b/>
          <w:bCs/>
        </w:rPr>
        <w:t xml:space="preserve">FR-3 (mandatory). </w:t>
      </w:r>
      <w:r>
        <w:t xml:space="preserve">The platform shall provide real-time COP dashboards showing system status, activity trends, anomalies, and location-level alerts.</w:t>
      </w:r>
    </w:p>
    <w:p>
      <w:pPr>
        <w:pStyle w:val="ListParagraph"/>
        <w:numPr>
          <w:ilvl w:val="0"/>
          <w:numId w:val="2"/>
        </w:numPr>
        <w:spacing w:after="60" w:line="256"/>
      </w:pPr>
      <w:r>
        <w:rPr>
          <w:b/>
          <w:bCs/>
        </w:rPr>
        <w:t xml:space="preserve">FR-4 (mandatory). </w:t>
      </w:r>
      <w:r>
        <w:t xml:space="preserve">The system shall support configurable alert rules, including threshold violations, anomaly-detection events, and system-down notifications.</w:t>
      </w:r>
    </w:p>
    <w:p>
      <w:pPr>
        <w:pStyle w:val="ListParagraph"/>
        <w:numPr>
          <w:ilvl w:val="0"/>
          <w:numId w:val="2"/>
        </w:numPr>
        <w:spacing w:after="60" w:line="256"/>
      </w:pPr>
      <w:r>
        <w:rPr>
          <w:b/>
          <w:bCs/>
        </w:rPr>
        <w:t xml:space="preserve">FR-5 (mandatory). </w:t>
      </w:r>
      <w:r>
        <w:t xml:space="preserve">The platform shall expose secure API endpoints enabling integration with C2, logistics/readiness, and intelligence exploitation systems.</w:t>
      </w:r>
    </w:p>
    <w:p>
      <w:pPr>
        <w:pStyle w:val="ListParagraph"/>
        <w:numPr>
          <w:ilvl w:val="0"/>
          <w:numId w:val="2"/>
        </w:numPr>
        <w:spacing w:after="60" w:line="256"/>
      </w:pPr>
      <w:r>
        <w:rPr>
          <w:b/>
          <w:bCs/>
        </w:rPr>
        <w:t xml:space="preserve">FR-6. </w:t>
      </w:r>
      <w:r>
        <w:t xml:space="preserve">Authorized users shall be able to run ad-hoc analytic queries against historical data for trend and readiness analysis.</w:t>
      </w:r>
    </w:p>
    <w:p>
      <w:pPr>
        <w:pStyle w:val="Heading1"/>
      </w:pPr>
      <w:r>
        <w:t xml:space="preserve">4. Non-Functional Requirements</w:t>
      </w:r>
    </w:p>
    <w:p>
      <w:pPr>
        <w:pStyle w:val="ListParagraph"/>
        <w:numPr>
          <w:ilvl w:val="0"/>
          <w:numId w:val="2"/>
        </w:numPr>
        <w:spacing w:after="60" w:line="256"/>
      </w:pPr>
      <w:r>
        <w:rPr>
          <w:b/>
          <w:bCs/>
        </w:rPr>
        <w:t xml:space="preserve">NFR-1 (mandatory). </w:t>
      </w:r>
      <w:r>
        <w:t xml:space="preserve">The enterprise core shall sustain 99.9% availability with automated failover and redundancy.</w:t>
      </w:r>
    </w:p>
    <w:p>
      <w:pPr>
        <w:pStyle w:val="ListParagraph"/>
        <w:numPr>
          <w:ilvl w:val="0"/>
          <w:numId w:val="2"/>
        </w:numPr>
        <w:spacing w:after="60" w:line="256"/>
      </w:pPr>
      <w:r>
        <w:rPr>
          <w:b/>
          <w:bCs/>
        </w:rPr>
        <w:t xml:space="preserve">NFR-2 (critical, mandatory). </w:t>
      </w:r>
      <w:r>
        <w:t xml:space="preserve">The platform shall remain mission-effective during Denied, Degraded, Intermittent, and Limited-bandwidth (DDIL) conditions. See Section 8.</w:t>
      </w:r>
    </w:p>
    <w:p>
      <w:pPr>
        <w:pStyle w:val="ListParagraph"/>
        <w:numPr>
          <w:ilvl w:val="0"/>
          <w:numId w:val="2"/>
        </w:numPr>
        <w:spacing w:after="60" w:line="256"/>
      </w:pPr>
      <w:r>
        <w:rPr>
          <w:b/>
          <w:bCs/>
        </w:rPr>
        <w:t xml:space="preserve">NFR-3 (mandatory). </w:t>
      </w:r>
      <w:r>
        <w:t xml:space="preserve">Ingestion latency shall not exceed five seconds under normal operational load.</w:t>
      </w:r>
    </w:p>
    <w:p>
      <w:pPr>
        <w:pStyle w:val="ListParagraph"/>
        <w:numPr>
          <w:ilvl w:val="0"/>
          <w:numId w:val="2"/>
        </w:numPr>
        <w:spacing w:after="60" w:line="256"/>
      </w:pPr>
      <w:r>
        <w:rPr>
          <w:b/>
          <w:bCs/>
        </w:rPr>
        <w:t xml:space="preserve">NFR-4 (mandatory). </w:t>
      </w:r>
      <w:r>
        <w:t xml:space="preserve">The architecture shall scale horizontally to accommodate additional locations without redesign.</w:t>
      </w:r>
    </w:p>
    <w:p>
      <w:pPr>
        <w:pStyle w:val="ListParagraph"/>
        <w:numPr>
          <w:ilvl w:val="0"/>
          <w:numId w:val="2"/>
        </w:numPr>
        <w:spacing w:after="60" w:line="256"/>
      </w:pPr>
      <w:r>
        <w:rPr>
          <w:b/>
          <w:bCs/>
        </w:rPr>
        <w:t xml:space="preserve">NFR-5 (mandatory). </w:t>
      </w:r>
      <w:r>
        <w:t xml:space="preserve">All communications shall use approved encryption in transit and at rest, with role-based access control (RBAC) and attribute-based access control (ABAC) where appropriate.</w:t>
      </w:r>
    </w:p>
    <w:p>
      <w:pPr>
        <w:pStyle w:val="ListParagraph"/>
        <w:numPr>
          <w:ilvl w:val="0"/>
          <w:numId w:val="2"/>
        </w:numPr>
        <w:spacing w:after="60" w:line="256"/>
      </w:pPr>
      <w:r>
        <w:rPr>
          <w:b/>
          <w:bCs/>
        </w:rPr>
        <w:t xml:space="preserve">NFR-6 (mandatory). </w:t>
      </w:r>
      <w:r>
        <w:t xml:space="preserve">The solution shall deploy in an authorized DoD cloud environment (Impact Level 5 / CUI minimum) while supporting hybrid and tactical-edge operation.</w:t>
      </w:r>
    </w:p>
    <w:p>
      <w:pPr>
        <w:pStyle w:val="Heading1"/>
      </w:pPr>
      <w:r>
        <w:t xml:space="preserve">5. Evaluation Criteria (Board-Level)</w:t>
      </w:r>
    </w:p>
    <w:p>
      <w:pPr>
        <w:spacing w:after="120" w:line="264"/>
      </w:pPr>
      <w:r>
        <w:t xml:space="preserve">The architecture review board will weigh, at minimum:</w:t>
      </w:r>
    </w:p>
    <w:p>
      <w:pPr>
        <w:pStyle w:val="ListParagraph"/>
        <w:numPr>
          <w:ilvl w:val="0"/>
          <w:numId w:val="2"/>
        </w:numPr>
        <w:spacing w:after="60" w:line="256"/>
      </w:pPr>
      <w:r>
        <w:t xml:space="preserve">Resilience in DDIL / disconnected operation (mission-critical for this requirement).</w:t>
      </w:r>
    </w:p>
    <w:p>
      <w:pPr>
        <w:pStyle w:val="ListParagraph"/>
        <w:numPr>
          <w:ilvl w:val="0"/>
          <w:numId w:val="2"/>
        </w:numPr>
        <w:spacing w:after="60" w:line="256"/>
      </w:pPr>
      <w:r>
        <w:t xml:space="preserve">Architectural scalability and ability to support future expansion.</w:t>
      </w:r>
    </w:p>
    <w:p>
      <w:pPr>
        <w:pStyle w:val="ListParagraph"/>
        <w:numPr>
          <w:ilvl w:val="0"/>
          <w:numId w:val="2"/>
        </w:numPr>
        <w:spacing w:after="60" w:line="256"/>
      </w:pPr>
      <w:r>
        <w:t xml:space="preserve">Alignment with security, RMF authorization, and compliance requirements.</w:t>
      </w:r>
    </w:p>
    <w:p>
      <w:pPr>
        <w:pStyle w:val="ListParagraph"/>
        <w:numPr>
          <w:ilvl w:val="0"/>
          <w:numId w:val="2"/>
        </w:numPr>
        <w:spacing w:after="60" w:line="256"/>
      </w:pPr>
      <w:r>
        <w:t xml:space="preserve">Operational maintainability — monitoring, logging, deployment automation, and sustainment burden at dispersed locations.</w:t>
      </w:r>
    </w:p>
    <w:p>
      <w:pPr>
        <w:pStyle w:val="ListParagraph"/>
        <w:numPr>
          <w:ilvl w:val="0"/>
          <w:numId w:val="2"/>
        </w:numPr>
        <w:spacing w:after="60" w:line="256"/>
      </w:pPr>
      <w:r>
        <w:t xml:space="preserve">Implementation complexity and associated delivery / authorization risk.</w:t>
      </w:r>
    </w:p>
    <w:p>
      <w:pPr>
        <w:pStyle w:val="ListParagraph"/>
        <w:numPr>
          <w:ilvl w:val="0"/>
          <w:numId w:val="2"/>
        </w:numPr>
        <w:spacing w:after="60" w:line="256"/>
      </w:pPr>
      <w:r>
        <w:t xml:space="preserve">Total cost of ownership, including infrastructure, edge hardware, and sustainment.</w:t>
      </w:r>
    </w:p>
    <w:p>
      <w:pPr>
        <w:pStyle w:val="Heading1"/>
      </w:pPr>
      <w:r>
        <w:t xml:space="preserve">6. Implementation Constraints</w:t>
      </w:r>
    </w:p>
    <w:p>
      <w:pPr>
        <w:pStyle w:val="ListParagraph"/>
        <w:numPr>
          <w:ilvl w:val="0"/>
          <w:numId w:val="2"/>
        </w:numPr>
        <w:spacing w:after="60" w:line="256"/>
      </w:pPr>
      <w:r>
        <w:rPr>
          <w:b/>
          <w:bCs/>
        </w:rPr>
        <w:t xml:space="preserve">IC-1 (mandatory). </w:t>
      </w:r>
      <w:r>
        <w:t xml:space="preserve">The solution shall integrate with mission systems and collection equipment already fielded at several locations.</w:t>
      </w:r>
    </w:p>
    <w:p>
      <w:pPr>
        <w:pStyle w:val="ListParagraph"/>
        <w:numPr>
          <w:ilvl w:val="0"/>
          <w:numId w:val="2"/>
        </w:numPr>
        <w:spacing w:after="60" w:line="256"/>
      </w:pPr>
      <w:r>
        <w:rPr>
          <w:b/>
          <w:bCs/>
        </w:rPr>
        <w:t xml:space="preserve">IC-2 (mandatory). </w:t>
      </w:r>
      <w:r>
        <w:t xml:space="preserve">The initial platform release shall be delivered within twelve months.</w:t>
      </w:r>
    </w:p>
    <w:p>
      <w:pPr>
        <w:pStyle w:val="ListParagraph"/>
        <w:numPr>
          <w:ilvl w:val="0"/>
          <w:numId w:val="2"/>
        </w:numPr>
        <w:spacing w:after="60" w:line="256"/>
      </w:pPr>
      <w:r>
        <w:rPr>
          <w:b/>
          <w:bCs/>
        </w:rPr>
        <w:t xml:space="preserve">IC-3 (mandatory). </w:t>
      </w:r>
      <w:r>
        <w:t xml:space="preserve">Deployment shall be phased, beginning with a single pilot task force / three pilot sites before scaling to the full portfolio.</w:t>
      </w:r>
    </w:p>
    <w:p>
      <w:pPr>
        <w:pStyle w:val="Heading1"/>
      </w:pPr>
      <w:r>
        <w:t xml:space="preserve">7. Data Architecture Requirements</w:t>
      </w:r>
    </w:p>
    <w:p>
      <w:pPr>
        <w:pStyle w:val="ListParagraph"/>
        <w:numPr>
          <w:ilvl w:val="0"/>
          <w:numId w:val="2"/>
        </w:numPr>
        <w:spacing w:after="60" w:line="256"/>
      </w:pPr>
      <w:r>
        <w:rPr>
          <w:b/>
          <w:bCs/>
        </w:rPr>
        <w:t xml:space="preserve">DA-1 (mandatory). </w:t>
      </w:r>
      <w:r>
        <w:t xml:space="preserve">The platform shall support both streaming and batch analytics workloads.</w:t>
      </w:r>
    </w:p>
    <w:p>
      <w:pPr>
        <w:pStyle w:val="ListParagraph"/>
        <w:numPr>
          <w:ilvl w:val="0"/>
          <w:numId w:val="2"/>
        </w:numPr>
        <w:spacing w:after="60" w:line="256"/>
      </w:pPr>
      <w:r>
        <w:rPr>
          <w:b/>
          <w:bCs/>
        </w:rPr>
        <w:t xml:space="preserve">DA-2 (mandatory). </w:t>
      </w:r>
      <w:r>
        <w:t xml:space="preserve">Historical data shall be retained for at least five years to support after-action review, lessons-learned, and records-management requirements.</w:t>
      </w:r>
    </w:p>
    <w:p>
      <w:pPr>
        <w:pStyle w:val="ListParagraph"/>
        <w:numPr>
          <w:ilvl w:val="0"/>
          <w:numId w:val="2"/>
        </w:numPr>
        <w:spacing w:after="60" w:line="256"/>
      </w:pPr>
      <w:r>
        <w:rPr>
          <w:b/>
          <w:bCs/>
        </w:rPr>
        <w:t xml:space="preserve">DA-3 (mandatory). </w:t>
      </w:r>
      <w:r>
        <w:t xml:space="preserve">Storage shall support high-volume time-series data processing.</w:t>
      </w:r>
    </w:p>
    <w:p>
      <w:pPr>
        <w:pStyle w:val="ListParagraph"/>
        <w:numPr>
          <w:ilvl w:val="0"/>
          <w:numId w:val="2"/>
        </w:numPr>
        <w:spacing w:after="60" w:line="256"/>
      </w:pPr>
      <w:r>
        <w:rPr>
          <w:b/>
          <w:bCs/>
        </w:rPr>
        <w:t xml:space="preserve">DA-4 (mandatory). </w:t>
      </w:r>
      <w:r>
        <w:t xml:space="preserve">Edge nodes shall locally buffer collected data during disconnection and reconcile with the enterprise core upon reconnection without data loss.</w:t>
      </w:r>
    </w:p>
    <w:p>
      <w:pPr>
        <w:pStyle w:val="Heading1"/>
      </w:pPr>
      <w:r>
        <w:t xml:space="preserve">8. DDIL / Disconnected Operation (Critical)</w:t>
      </w:r>
    </w:p>
    <w:p>
      <w:pPr>
        <w:spacing w:after="120" w:line="264"/>
      </w:pPr>
      <w:r>
        <w:rPr>
          <w:i/>
          <w:iCs/>
          <w:color w:val="595959"/>
          <w:sz w:val="19"/>
          <w:szCs w:val="19"/>
        </w:rPr>
        <w:t xml:space="preserve">This section states the defining constraint for this requirement and is mandatory.</w:t>
      </w:r>
    </w:p>
    <w:p>
      <w:pPr>
        <w:pStyle w:val="ListParagraph"/>
        <w:numPr>
          <w:ilvl w:val="0"/>
          <w:numId w:val="2"/>
        </w:numPr>
        <w:spacing w:after="60" w:line="256"/>
      </w:pPr>
      <w:r>
        <w:rPr>
          <w:b/>
          <w:bCs/>
        </w:rPr>
        <w:t xml:space="preserve">DDIL-1 (critical, mandatory). </w:t>
      </w:r>
      <w:r>
        <w:t xml:space="preserve">The platform shall provide tactical-edge nodes that continue collection, local analytics, alerting, and COP display during denied, degraded, intermittent, or limited-bandwidth conditions, with no dependency on continuous connectivity to the enterprise core.</w:t>
      </w:r>
    </w:p>
    <w:p>
      <w:pPr>
        <w:pStyle w:val="ListParagraph"/>
        <w:numPr>
          <w:ilvl w:val="0"/>
          <w:numId w:val="2"/>
        </w:numPr>
        <w:spacing w:after="60" w:line="256"/>
      </w:pPr>
      <w:r>
        <w:rPr>
          <w:b/>
          <w:bCs/>
        </w:rPr>
        <w:t xml:space="preserve">DDIL-2 (critical, mandatory). </w:t>
      </w:r>
      <w:r>
        <w:t xml:space="preserve">Edge nodes shall buffer data locally and automatically reconcile/synchronize with the enterprise core when connectivity is restored, without data loss and without operator intervention.</w:t>
      </w:r>
    </w:p>
    <w:p>
      <w:pPr>
        <w:pStyle w:val="ListParagraph"/>
        <w:numPr>
          <w:ilvl w:val="0"/>
          <w:numId w:val="2"/>
        </w:numPr>
        <w:spacing w:after="60" w:line="256"/>
      </w:pPr>
      <w:r>
        <w:rPr>
          <w:b/>
          <w:bCs/>
        </w:rPr>
        <w:t xml:space="preserve">DDIL-3 (mandatory). </w:t>
      </w:r>
      <w:r>
        <w:t xml:space="preserve">Degradation shall be graceful: loss of connectivity shall reduce enterprise-wide correlation but shall not disable local situational awareness.</w:t>
      </w:r>
    </w:p>
    <w:p>
      <w:pPr>
        <w:pStyle w:val="Heading1"/>
      </w:pPr>
      <w:r>
        <w:t xml:space="preserve">9. Security and Compliance</w:t>
      </w:r>
    </w:p>
    <w:p>
      <w:pPr>
        <w:pStyle w:val="ListParagraph"/>
        <w:numPr>
          <w:ilvl w:val="0"/>
          <w:numId w:val="2"/>
        </w:numPr>
        <w:spacing w:after="60" w:line="256"/>
      </w:pPr>
      <w:r>
        <w:rPr>
          <w:b/>
          <w:bCs/>
        </w:rPr>
        <w:t xml:space="preserve">SC-1 (mandatory). </w:t>
      </w:r>
      <w:r>
        <w:t xml:space="preserve">The solution shall achieve and maintain a Risk Management Framework (RMF) authorization (ATO; continuous ATO preferred) prior to operational use.</w:t>
      </w:r>
    </w:p>
    <w:p>
      <w:pPr>
        <w:pStyle w:val="ListParagraph"/>
        <w:numPr>
          <w:ilvl w:val="0"/>
          <w:numId w:val="2"/>
        </w:numPr>
        <w:spacing w:after="60" w:line="256"/>
      </w:pPr>
      <w:r>
        <w:rPr>
          <w:b/>
          <w:bCs/>
        </w:rPr>
        <w:t xml:space="preserve">SC-2 (mandatory). </w:t>
      </w:r>
      <w:r>
        <w:t xml:space="preserve">The solution shall be categorized and operated at DoD Impact Level 5 (CUI) at minimum, with a clear path to higher impact levels if directed.</w:t>
      </w:r>
    </w:p>
    <w:p>
      <w:pPr>
        <w:pStyle w:val="ListParagraph"/>
        <w:numPr>
          <w:ilvl w:val="0"/>
          <w:numId w:val="2"/>
        </w:numPr>
        <w:spacing w:after="60" w:line="256"/>
      </w:pPr>
      <w:r>
        <w:rPr>
          <w:b/>
          <w:bCs/>
        </w:rPr>
        <w:t xml:space="preserve">SC-3 (mandatory). </w:t>
      </w:r>
      <w:r>
        <w:t xml:space="preserve">The solution shall apply Zero Trust principles, including explicit verification, least-privilege access, and assume-breach segmentation.</w:t>
      </w:r>
    </w:p>
    <w:p>
      <w:pPr>
        <w:pStyle w:val="ListParagraph"/>
        <w:numPr>
          <w:ilvl w:val="0"/>
          <w:numId w:val="2"/>
        </w:numPr>
        <w:spacing w:after="60" w:line="256"/>
      </w:pPr>
      <w:r>
        <w:rPr>
          <w:b/>
          <w:bCs/>
        </w:rPr>
        <w:t xml:space="preserve">SC-4 (mandatory). </w:t>
      </w:r>
      <w:r>
        <w:t xml:space="preserve">Identity shall federate with the organization’s ICAM (Microsoft Entra ID for Government), with RBAC/ABAC aligned to enterprise identity management.</w:t>
      </w:r>
    </w:p>
    <w:p>
      <w:pPr>
        <w:pStyle w:val="ListParagraph"/>
        <w:numPr>
          <w:ilvl w:val="0"/>
          <w:numId w:val="2"/>
        </w:numPr>
        <w:spacing w:after="60" w:line="256"/>
      </w:pPr>
      <w:r>
        <w:rPr>
          <w:b/>
          <w:bCs/>
        </w:rPr>
        <w:t xml:space="preserve">SC-5 (mandatory). </w:t>
      </w:r>
      <w:r>
        <w:t xml:space="preserve">Components shall comply with applicable DISA Security Technical Implementation Guides (STIGs).</w:t>
      </w:r>
    </w:p>
    <w:p>
      <w:pPr>
        <w:pStyle w:val="ListParagraph"/>
        <w:numPr>
          <w:ilvl w:val="0"/>
          <w:numId w:val="2"/>
        </w:numPr>
        <w:spacing w:after="60" w:line="256"/>
      </w:pPr>
      <w:r>
        <w:rPr>
          <w:b/>
          <w:bCs/>
        </w:rPr>
        <w:t xml:space="preserve">SC-6 (mandatory). </w:t>
      </w:r>
      <w:r>
        <w:t xml:space="preserve">Audit logging shall capture all system access and administrative events and be retained per records-management policy.</w:t>
      </w:r>
    </w:p>
    <w:p>
      <w:pPr>
        <w:pStyle w:val="Heading1"/>
      </w:pPr>
      <w:r>
        <w:t xml:space="preserve">10. Operational Monitoring</w:t>
      </w:r>
    </w:p>
    <w:p>
      <w:pPr>
        <w:pStyle w:val="ListParagraph"/>
        <w:numPr>
          <w:ilvl w:val="0"/>
          <w:numId w:val="2"/>
        </w:numPr>
        <w:spacing w:after="60" w:line="256"/>
      </w:pPr>
      <w:r>
        <w:t xml:space="preserve">The platform shall include monitoring dashboards for system health, ingestion throughput, and processing latency.</w:t>
      </w:r>
    </w:p>
    <w:p>
      <w:pPr>
        <w:pStyle w:val="ListParagraph"/>
        <w:numPr>
          <w:ilvl w:val="0"/>
          <w:numId w:val="2"/>
        </w:numPr>
        <w:spacing w:after="60" w:line="256"/>
      </w:pPr>
      <w:r>
        <w:t xml:space="preserve">Operational alerts shall notify administrators of system failures or degraded performance at both the edge and the core.</w:t>
      </w:r>
    </w:p>
    <w:p>
      <w:pPr>
        <w:pBdr>
          <w:top w:val="single" w:color="2E75B6" w:sz="6" w:space="6"/>
        </w:pBdr>
        <w:spacing w:before="240"/>
      </w:pPr>
      <w:r>
        <w:rPr>
          <w:i/>
          <w:iCs/>
          <w:color w:val="808080"/>
          <w:sz w:val="18"/>
          <w:szCs w:val="18"/>
        </w:rPr>
        <w:t xml:space="preserve">End of Approved Capability Requirement (Baseline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color w:val="808080"/>
        <w:sz w:val="15"/>
        <w:szCs w:val="15"/>
      </w:rPr>
      <w:t xml:space="preserve">Microsoft 365 Copilot Training — Source-Selection Evaluation Use Case   |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C55A11"/>
        <w:sz w:val="14"/>
        <w:szCs w:val="14"/>
      </w:rPr>
      <w:t xml:space="preserve">NOTIONAL TRAINING SCENARIO — UNCLASSIFIED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2026-06-26T12:51:01.028Z</dcterms:created>
  <dcterms:modified xsi:type="dcterms:W3CDTF">2026-06-26T12:51:01.028Z</dcterms:modified>
</cp:coreProperties>
</file>

<file path=docProps/custom.xml><?xml version="1.0" encoding="utf-8"?>
<Properties xmlns="http://schemas.openxmlformats.org/officeDocument/2006/custom-properties" xmlns:vt="http://schemas.openxmlformats.org/officeDocument/2006/docPropsVTypes"/>
</file>