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40"/>
      </w:pPr>
      <w:r>
        <w:rPr>
          <w:b/>
          <w:bCs/>
          <w:caps/>
          <w:color w:val="2E5496"/>
          <w:sz w:val="18"/>
          <w:szCs w:val="18"/>
        </w:rPr>
        <w:t xml:space="preserve">Technical Approach #1 of 4</w:t>
      </w:r>
    </w:p>
    <w:p>
      <w:pPr>
        <w:spacing w:after="40" w:before="160"/>
      </w:pPr>
      <w:r>
        <w:rPr>
          <w:b/>
          <w:bCs/>
          <w:color w:val="1F3864"/>
          <w:sz w:val="40"/>
          <w:szCs w:val="40"/>
        </w:rPr>
        <w:t xml:space="preserve">Technical Approach #1 — Cloud-Native Microservices (Enterprise-Centric)</w:t>
      </w:r>
    </w:p>
    <w:p>
      <w:pPr>
        <w:spacing w:after="200"/>
      </w:pPr>
      <w:r>
        <w:rPr>
          <w:i/>
          <w:iCs/>
          <w:color w:val="595959"/>
          <w:sz w:val="22"/>
          <w:szCs w:val="22"/>
        </w:rPr>
        <w:t xml:space="preserve">Candidate solution for the TESA-DIP requirement</w:t>
      </w:r>
    </w:p>
    <w:p>
      <w:pPr>
        <w:pBdr>
          <w:top w:val="single" w:color="C55A11" w:sz="6" w:space="6"/>
          <w:bottom w:val="single" w:color="C55A11" w:sz="6" w:space="6"/>
          <w:left w:val="single" w:color="C55A11" w:sz="6" w:space="6"/>
          <w:right w:val="single" w:color="C55A11" w:sz="6" w:space="6"/>
        </w:pBdr>
        <w:shd w:fill="FDE9D9" w:val="clear"/>
        <w:spacing w:after="240"/>
      </w:pPr>
      <w:r>
        <w:rPr>
          <w:b/>
          <w:bCs/>
          <w:color w:val="C55A11"/>
          <w:sz w:val="18"/>
          <w:szCs w:val="18"/>
        </w:rPr>
        <w:t xml:space="preserve">NOTIONAL TRAINING SCENARIO — UNCLASSIFIED. </w:t>
      </w:r>
      <w:r>
        <w:rPr>
          <w:color w:val="843C0C"/>
          <w:sz w:val="18"/>
          <w:szCs w:val="18"/>
        </w:rPr>
        <w:t xml:space="preserve">Fictional content created solely for instructor-led Microsoft 365 Copilot training. This document does not represent any actual SOCOM program, requirement, system, vendor, or capability, and contains no real operational data. Names, numbers, and technical details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Document type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Vendor / team technical approach (subject of evaluation)</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Evaluated against</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TESA-DIP Approved Capability Requirement, Baseline v1.0</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Architecture posture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Fully cloud-native, container-orchestrated, event-streaming at enterprise scale</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Submission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Approach #1 — notional submission for training</w:t>
            </w:r>
          </w:p>
        </w:tc>
      </w:tr>
    </w:tbl>
    <w:p>
      <w:pPr>
        <w:spacing w:after="120" w:line="264"/>
      </w:pPr>
      <w:r>
        <w:t xml:space="preserve"/>
      </w:r>
    </w:p>
    <w:p>
      <w:pPr>
        <w:pStyle w:val="Heading1"/>
      </w:pPr>
      <w:r>
        <w:t xml:space="preserve">Solution Overview</w:t>
      </w:r>
    </w:p>
    <w:p>
      <w:pPr>
        <w:spacing w:after="120" w:line="264"/>
      </w:pPr>
      <w:r>
        <w:t xml:space="preserve">This proposal recommends a fully cloud-native architecture designed for large-scale ingestion and analytics, deployed in an authorized DoD cloud environment (Impact Level 5).</w:t>
      </w:r>
    </w:p>
    <w:p>
      <w:pPr>
        <w:spacing w:after="120" w:line="264"/>
      </w:pPr>
      <w:r>
        <w:t xml:space="preserve">The system leverages microservices in a container-orchestration platform, enabling independent scaling of ingestion, analytics, and visualization services. A distributed event-streaming backbone processes high-volume feeds while providing reliability and fault tolerance.</w:t>
      </w:r>
    </w:p>
    <w:p>
      <w:pPr>
        <w:pStyle w:val="Heading1"/>
      </w:pPr>
      <w:r>
        <w:t xml:space="preserve">Proposed Architecture</w:t>
      </w:r>
    </w:p>
    <w:p>
      <w:pPr>
        <w:pStyle w:val="ListParagraph"/>
        <w:numPr>
          <w:ilvl w:val="0"/>
          <w:numId w:val="2"/>
        </w:numPr>
        <w:spacing w:after="60" w:line="256"/>
      </w:pPr>
      <w:r>
        <w:t xml:space="preserve">Ingestion microservices receive device messages and publish events to a distributed event-streaming platform.</w:t>
      </w:r>
    </w:p>
    <w:p>
      <w:pPr>
        <w:pStyle w:val="ListParagraph"/>
        <w:numPr>
          <w:ilvl w:val="0"/>
          <w:numId w:val="2"/>
        </w:numPr>
        <w:spacing w:after="60" w:line="256"/>
      </w:pPr>
      <w:r>
        <w:t xml:space="preserve">Stream-processing components analyze incoming data in real time to detect anomalies and generate alerts.</w:t>
      </w:r>
    </w:p>
    <w:p>
      <w:pPr>
        <w:pStyle w:val="ListParagraph"/>
        <w:numPr>
          <w:ilvl w:val="0"/>
          <w:numId w:val="2"/>
        </w:numPr>
        <w:spacing w:after="60" w:line="256"/>
      </w:pPr>
      <w:r>
        <w:t xml:space="preserve">A scalable time-series data store maintains long-term historical records.</w:t>
      </w:r>
    </w:p>
    <w:p>
      <w:pPr>
        <w:pStyle w:val="ListParagraph"/>
        <w:numPr>
          <w:ilvl w:val="0"/>
          <w:numId w:val="2"/>
        </w:numPr>
        <w:spacing w:after="60" w:line="256"/>
      </w:pPr>
      <w:r>
        <w:t xml:space="preserve">API gateways expose secure integration endpoints for C2, logistics, and intelligence systems.</w:t>
      </w:r>
    </w:p>
    <w:p>
      <w:pPr>
        <w:pStyle w:val="ListParagraph"/>
        <w:numPr>
          <w:ilvl w:val="0"/>
          <w:numId w:val="2"/>
        </w:numPr>
        <w:spacing w:after="60" w:line="256"/>
      </w:pPr>
      <w:r>
        <w:t xml:space="preserve">COP dashboards and analytics applications access processed data through dedicated query services.</w:t>
      </w:r>
    </w:p>
    <w:p>
      <w:pPr>
        <w:pStyle w:val="Heading2"/>
      </w:pPr>
      <w:r>
        <w:t xml:space="preserve">Implementation Plan</w:t>
      </w:r>
    </w:p>
    <w:p>
      <w:pPr>
        <w:pStyle w:val="ListParagraph"/>
        <w:numPr>
          <w:ilvl w:val="0"/>
          <w:numId w:val="2"/>
        </w:numPr>
        <w:spacing w:after="60" w:line="256"/>
      </w:pPr>
      <w:r>
        <w:t xml:space="preserve">Phase 1: Architecture design, RMF planning, and infrastructure provisioning.</w:t>
      </w:r>
    </w:p>
    <w:p>
      <w:pPr>
        <w:pStyle w:val="ListParagraph"/>
        <w:numPr>
          <w:ilvl w:val="0"/>
          <w:numId w:val="2"/>
        </w:numPr>
        <w:spacing w:after="60" w:line="256"/>
      </w:pPr>
      <w:r>
        <w:t xml:space="preserve">Phase 2: Development of ingestion and normalization pipelines.</w:t>
      </w:r>
    </w:p>
    <w:p>
      <w:pPr>
        <w:pStyle w:val="ListParagraph"/>
        <w:numPr>
          <w:ilvl w:val="0"/>
          <w:numId w:val="2"/>
        </w:numPr>
        <w:spacing w:after="60" w:line="256"/>
      </w:pPr>
      <w:r>
        <w:t xml:space="preserve">Phase 3: Implementation of analytics, alerting, and COP/dashboard layers.</w:t>
      </w:r>
    </w:p>
    <w:p>
      <w:pPr>
        <w:pStyle w:val="ListParagraph"/>
        <w:numPr>
          <w:ilvl w:val="0"/>
          <w:numId w:val="2"/>
        </w:numPr>
        <w:spacing w:after="60" w:line="256"/>
      </w:pPr>
      <w:r>
        <w:t xml:space="preserve">Phase 4: Integration with C2, logistics/readiness, and intelligence systems.</w:t>
      </w:r>
    </w:p>
    <w:p>
      <w:pPr>
        <w:pStyle w:val="ListParagraph"/>
        <w:numPr>
          <w:ilvl w:val="0"/>
          <w:numId w:val="2"/>
        </w:numPr>
        <w:spacing w:after="60" w:line="256"/>
      </w:pPr>
      <w:r>
        <w:t xml:space="preserve">Phase 5: Pilot deployment (pilot task force / three sites), then portfolio rollout.</w:t>
      </w:r>
    </w:p>
    <w:p>
      <w:pPr>
        <w:pStyle w:val="Heading2"/>
      </w:pPr>
      <w:r>
        <w:t xml:space="preserve">Operational Considerations</w:t>
      </w:r>
    </w:p>
    <w:p>
      <w:pPr>
        <w:pStyle w:val="ListParagraph"/>
        <w:numPr>
          <w:ilvl w:val="0"/>
          <w:numId w:val="2"/>
        </w:numPr>
        <w:spacing w:after="60" w:line="256"/>
      </w:pPr>
      <w:r>
        <w:t xml:space="preserve">Monitoring and observability are built into the architecture.</w:t>
      </w:r>
    </w:p>
    <w:p>
      <w:pPr>
        <w:pStyle w:val="ListParagraph"/>
        <w:numPr>
          <w:ilvl w:val="0"/>
          <w:numId w:val="2"/>
        </w:numPr>
        <w:spacing w:after="60" w:line="256"/>
      </w:pPr>
      <w:r>
        <w:t xml:space="preserve">CI/CD (DevSecOps) pipelines automate testing, security scanning, and deployment.</w:t>
      </w:r>
    </w:p>
    <w:p>
      <w:pPr>
        <w:pStyle w:val="ListParagraph"/>
        <w:numPr>
          <w:ilvl w:val="0"/>
          <w:numId w:val="2"/>
        </w:numPr>
        <w:spacing w:after="60" w:line="256"/>
      </w:pPr>
      <w:r>
        <w:t xml:space="preserve">Infrastructure is managed using infrastructure-as-code tooling.</w:t>
      </w:r>
    </w:p>
    <w:p>
      <w:pPr>
        <w:pStyle w:val="Heading1"/>
      </w:pPr>
      <w:r>
        <w:t xml:space="preserve">Security &amp; Authorization Posture</w:t>
      </w:r>
    </w:p>
    <w:p>
      <w:pPr>
        <w:pStyle w:val="ListParagraph"/>
        <w:numPr>
          <w:ilvl w:val="0"/>
          <w:numId w:val="2"/>
        </w:numPr>
        <w:spacing w:after="60" w:line="256"/>
      </w:pPr>
      <w:r>
        <w:t xml:space="preserve">Applies cloud-native Zero Trust patterns and integrates with ICAM (Entra ID for Government).</w:t>
      </w:r>
    </w:p>
    <w:p>
      <w:pPr>
        <w:pStyle w:val="ListParagraph"/>
        <w:numPr>
          <w:ilvl w:val="0"/>
          <w:numId w:val="2"/>
        </w:numPr>
        <w:spacing w:after="60" w:line="256"/>
      </w:pPr>
      <w:r>
        <w:t xml:space="preserve">Targets an RMF authorization (ATO) at IL5; encryption in transit and at rest via cloud-native services.</w:t>
      </w:r>
    </w:p>
    <w:p>
      <w:pPr>
        <w:pStyle w:val="ListParagraph"/>
        <w:numPr>
          <w:ilvl w:val="0"/>
          <w:numId w:val="2"/>
        </w:numPr>
        <w:spacing w:after="60" w:line="256"/>
      </w:pPr>
      <w:r>
        <w:t xml:space="preserve">Large component count increases the authorization boundary and the STIG/compliance surface to be assessed.</w:t>
      </w:r>
    </w:p>
    <w:p>
      <w:pPr>
        <w:pStyle w:val="Heading1"/>
      </w:pPr>
      <w:r>
        <w:t xml:space="preserve">DDIL / Disconnected Operation</w:t>
      </w:r>
    </w:p>
    <w:p>
      <w:pPr>
        <w:spacing w:after="120" w:line="264"/>
      </w:pPr>
      <w:r>
        <w:t xml:space="preserve">The architecture assumes persistent connectivity to the enterprise cloud core. Edge resilience would require additional edge-node components that are referenced but not fully specified in this submission. During disconnection, local collection and situational awareness are limited.</w:t>
      </w:r>
    </w:p>
    <w:p>
      <w:pPr>
        <w:pStyle w:val="Heading1"/>
      </w:pPr>
      <w:r>
        <w:t xml:space="preserve">Risks and Limitations</w:t>
      </w:r>
    </w:p>
    <w:p>
      <w:pPr>
        <w:pStyle w:val="ListParagraph"/>
        <w:numPr>
          <w:ilvl w:val="0"/>
          <w:numId w:val="2"/>
        </w:numPr>
        <w:spacing w:after="60" w:line="256"/>
      </w:pPr>
      <w:r>
        <w:t xml:space="preserve">Primary risk is architectural complexity, requiring an experienced DevSecOps team to implement and sustain distributed systems at dispersed locations.</w:t>
      </w:r>
    </w:p>
    <w:p>
      <w:pPr>
        <w:pStyle w:val="ListParagraph"/>
        <w:numPr>
          <w:ilvl w:val="0"/>
          <w:numId w:val="2"/>
        </w:numPr>
        <w:spacing w:after="60" w:line="256"/>
      </w:pPr>
      <w:r>
        <w:t xml:space="preserve">Operational overhead may increase due to microservice and orchestration management.</w:t>
      </w:r>
    </w:p>
    <w:p>
      <w:pPr>
        <w:pStyle w:val="ListParagraph"/>
        <w:numPr>
          <w:ilvl w:val="0"/>
          <w:numId w:val="2"/>
        </w:numPr>
        <w:spacing w:after="60" w:line="256"/>
      </w:pPr>
      <w:r>
        <w:t xml:space="preserve">DDIL/disconnected operation is underdeveloped relative to the requirement’s critical NFR-2 / DDIL-1.</w:t>
      </w:r>
    </w:p>
    <w:p>
      <w:pPr>
        <w:pStyle w:val="ListParagraph"/>
        <w:numPr>
          <w:ilvl w:val="0"/>
          <w:numId w:val="2"/>
        </w:numPr>
        <w:spacing w:after="60" w:line="256"/>
      </w:pPr>
      <w:r>
        <w:t xml:space="preserve">Authorization timeline risk: the large component set may extend the RMF/ATO effort.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808080"/>
        <w:sz w:val="15"/>
        <w:szCs w:val="15"/>
      </w:rPr>
      <w:t xml:space="preserve">Microsoft 365 Copilot Training — Source-Selection Evaluation Use Case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55A11"/>
        <w:sz w:val="14"/>
        <w:szCs w:val="14"/>
      </w:rPr>
      <w:t xml:space="preserve">NOTIONAL TRAINING SCENARIO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2026-06-26T12:51:01.037Z</dcterms:created>
  <dcterms:modified xsi:type="dcterms:W3CDTF">2026-06-26T12:51:01.037Z</dcterms:modified>
</cp:coreProperties>
</file>

<file path=docProps/custom.xml><?xml version="1.0" encoding="utf-8"?>
<Properties xmlns="http://schemas.openxmlformats.org/officeDocument/2006/custom-properties" xmlns:vt="http://schemas.openxmlformats.org/officeDocument/2006/docPropsVTypes"/>
</file>